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68BE9" w14:textId="77777777" w:rsidR="00F1257F" w:rsidRDefault="000226E9" w:rsidP="00DA6E60">
      <w:pPr>
        <w:jc w:val="both"/>
        <w:rPr>
          <w:rFonts w:ascii="Arial" w:hAnsi="Arial" w:cs="Arial"/>
          <w:b/>
          <w:sz w:val="28"/>
          <w:szCs w:val="28"/>
        </w:rPr>
      </w:pPr>
      <w:r>
        <w:rPr>
          <w:rFonts w:ascii="Arial" w:hAnsi="Arial" w:cs="Arial"/>
          <w:b/>
          <w:sz w:val="28"/>
          <w:szCs w:val="28"/>
        </w:rPr>
        <w:t xml:space="preserve">Workforce </w:t>
      </w:r>
      <w:r w:rsidR="00AA2C6F">
        <w:rPr>
          <w:rFonts w:ascii="Arial" w:hAnsi="Arial" w:cs="Arial"/>
          <w:b/>
          <w:sz w:val="28"/>
          <w:szCs w:val="28"/>
        </w:rPr>
        <w:t>Report</w:t>
      </w:r>
      <w:r w:rsidR="00B72A7F" w:rsidRPr="00B72A7F">
        <w:rPr>
          <w:rFonts w:ascii="Arial" w:hAnsi="Arial" w:cs="Arial"/>
          <w:b/>
          <w:sz w:val="28"/>
          <w:szCs w:val="28"/>
        </w:rPr>
        <w:t xml:space="preserve"> </w:t>
      </w:r>
      <w:r w:rsidR="00465802">
        <w:rPr>
          <w:rFonts w:ascii="Arial" w:hAnsi="Arial" w:cs="Arial"/>
          <w:b/>
          <w:sz w:val="28"/>
          <w:szCs w:val="28"/>
        </w:rPr>
        <w:t xml:space="preserve"> </w:t>
      </w:r>
    </w:p>
    <w:p w14:paraId="16C2613C" w14:textId="77777777" w:rsidR="00AA2C6F" w:rsidRPr="008E647D" w:rsidRDefault="00AA2C6F" w:rsidP="00DA6E60">
      <w:pPr>
        <w:jc w:val="both"/>
        <w:rPr>
          <w:rFonts w:ascii="Arial" w:hAnsi="Arial" w:cs="Arial"/>
          <w:b/>
          <w:sz w:val="23"/>
          <w:szCs w:val="23"/>
        </w:rPr>
      </w:pPr>
    </w:p>
    <w:p w14:paraId="3A18EA61" w14:textId="77777777" w:rsidR="006728FE" w:rsidRPr="00144D51" w:rsidRDefault="006728FE" w:rsidP="006728FE">
      <w:pPr>
        <w:jc w:val="both"/>
        <w:rPr>
          <w:rFonts w:ascii="Arial" w:hAnsi="Arial" w:cs="Arial"/>
          <w:b/>
        </w:rPr>
      </w:pPr>
      <w:r w:rsidRPr="00144D51">
        <w:rPr>
          <w:rFonts w:ascii="Arial" w:hAnsi="Arial" w:cs="Arial"/>
          <w:b/>
        </w:rPr>
        <w:t>Purpose of Report</w:t>
      </w:r>
    </w:p>
    <w:p w14:paraId="68E44BD3" w14:textId="77777777" w:rsidR="006728FE" w:rsidRPr="00144D51" w:rsidRDefault="006728FE" w:rsidP="006728FE">
      <w:pPr>
        <w:rPr>
          <w:rFonts w:ascii="Arial" w:hAnsi="Arial" w:cs="Arial"/>
        </w:rPr>
      </w:pPr>
    </w:p>
    <w:p w14:paraId="193DCD86" w14:textId="77777777" w:rsidR="006728FE" w:rsidRPr="009D4A1C" w:rsidRDefault="006728FE" w:rsidP="006728FE">
      <w:pPr>
        <w:jc w:val="both"/>
        <w:rPr>
          <w:rFonts w:ascii="Arial" w:hAnsi="Arial" w:cs="Arial"/>
        </w:rPr>
      </w:pPr>
      <w:r w:rsidRPr="009D4A1C">
        <w:rPr>
          <w:rFonts w:ascii="Arial" w:hAnsi="Arial" w:cs="Arial"/>
        </w:rPr>
        <w:t>To update the F</w:t>
      </w:r>
      <w:r w:rsidR="00B30CB7">
        <w:rPr>
          <w:rFonts w:ascii="Arial" w:hAnsi="Arial" w:cs="Arial"/>
        </w:rPr>
        <w:t>SMC o</w:t>
      </w:r>
      <w:r>
        <w:rPr>
          <w:rFonts w:ascii="Arial" w:hAnsi="Arial" w:cs="Arial"/>
        </w:rPr>
        <w:t>n matters in relation to f</w:t>
      </w:r>
      <w:r w:rsidRPr="009D4A1C">
        <w:rPr>
          <w:rFonts w:ascii="Arial" w:hAnsi="Arial" w:cs="Arial"/>
        </w:rPr>
        <w:t>ire service industrial relations and pension matters</w:t>
      </w:r>
      <w:r w:rsidR="000758FA">
        <w:rPr>
          <w:rFonts w:ascii="Arial" w:hAnsi="Arial" w:cs="Arial"/>
        </w:rPr>
        <w:t>.</w:t>
      </w:r>
      <w:r w:rsidRPr="009D4A1C">
        <w:rPr>
          <w:rFonts w:ascii="Arial" w:hAnsi="Arial" w:cs="Arial"/>
        </w:rPr>
        <w:t xml:space="preserve"> </w:t>
      </w:r>
    </w:p>
    <w:p w14:paraId="7302486C" w14:textId="77777777" w:rsidR="006728FE" w:rsidRPr="009D4A1C" w:rsidRDefault="006728FE" w:rsidP="006728FE">
      <w:pPr>
        <w:jc w:val="both"/>
        <w:rPr>
          <w:rFonts w:ascii="Arial" w:hAnsi="Arial" w:cs="Arial"/>
        </w:rPr>
      </w:pPr>
    </w:p>
    <w:p w14:paraId="39A140A9" w14:textId="77777777" w:rsidR="006728FE" w:rsidRPr="009D4A1C" w:rsidRDefault="006728FE" w:rsidP="006728FE">
      <w:pPr>
        <w:jc w:val="both"/>
        <w:rPr>
          <w:rFonts w:ascii="Arial" w:hAnsi="Arial" w:cs="Arial"/>
          <w:b/>
        </w:rPr>
      </w:pPr>
      <w:r w:rsidRPr="009D4A1C">
        <w:rPr>
          <w:rFonts w:ascii="Arial" w:hAnsi="Arial" w:cs="Arial"/>
          <w:b/>
        </w:rPr>
        <w:t>Summary</w:t>
      </w:r>
    </w:p>
    <w:p w14:paraId="7A3A5CBF" w14:textId="77777777" w:rsidR="006728FE" w:rsidRPr="009D4A1C" w:rsidRDefault="006728FE" w:rsidP="006728FE">
      <w:pPr>
        <w:jc w:val="both"/>
        <w:rPr>
          <w:rFonts w:ascii="Arial" w:hAnsi="Arial" w:cs="Arial"/>
        </w:rPr>
      </w:pPr>
    </w:p>
    <w:p w14:paraId="2C0504EC" w14:textId="77777777" w:rsidR="006728FE" w:rsidRPr="009D4A1C" w:rsidRDefault="006728FE" w:rsidP="006728FE">
      <w:pPr>
        <w:jc w:val="both"/>
        <w:rPr>
          <w:rFonts w:ascii="Arial" w:hAnsi="Arial" w:cs="Arial"/>
        </w:rPr>
      </w:pPr>
      <w:r w:rsidRPr="009D4A1C">
        <w:rPr>
          <w:rFonts w:ascii="Arial" w:hAnsi="Arial" w:cs="Arial"/>
        </w:rPr>
        <w:t xml:space="preserve">This briefly describes the main industrial relations and pension issues at present.  </w:t>
      </w:r>
    </w:p>
    <w:p w14:paraId="579A9D30" w14:textId="77777777" w:rsidR="00144D51" w:rsidRDefault="00144D51" w:rsidP="00DA6E60">
      <w:pPr>
        <w:jc w:val="both"/>
        <w:rPr>
          <w:rFonts w:ascii="Arial" w:hAnsi="Arial" w:cs="Arial"/>
          <w:b/>
        </w:rPr>
      </w:pPr>
    </w:p>
    <w:p w14:paraId="618D10E7" w14:textId="77777777" w:rsidR="004311A2" w:rsidRPr="00144D51" w:rsidRDefault="004311A2" w:rsidP="00DA6E60">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322D8" w:rsidRPr="00144D51" w14:paraId="7DEA0FDB" w14:textId="77777777" w:rsidTr="00144D51">
        <w:trPr>
          <w:trHeight w:val="2916"/>
        </w:trPr>
        <w:tc>
          <w:tcPr>
            <w:tcW w:w="8856" w:type="dxa"/>
            <w:shd w:val="clear" w:color="auto" w:fill="auto"/>
          </w:tcPr>
          <w:p w14:paraId="7BCE5F48" w14:textId="77777777" w:rsidR="00F322D8" w:rsidRPr="00144D51" w:rsidRDefault="00F322D8" w:rsidP="00DA6E60">
            <w:pPr>
              <w:jc w:val="both"/>
              <w:rPr>
                <w:rFonts w:ascii="Arial" w:hAnsi="Arial" w:cs="Arial"/>
                <w:b/>
              </w:rPr>
            </w:pPr>
          </w:p>
          <w:p w14:paraId="372A468A" w14:textId="77777777" w:rsidR="004F4241" w:rsidRPr="004F4241" w:rsidRDefault="004F4241" w:rsidP="004F4241">
            <w:pPr>
              <w:jc w:val="both"/>
              <w:rPr>
                <w:rFonts w:ascii="Arial" w:hAnsi="Arial" w:cs="Arial"/>
                <w:b/>
              </w:rPr>
            </w:pPr>
            <w:r w:rsidRPr="004F4241">
              <w:rPr>
                <w:rFonts w:ascii="Arial" w:hAnsi="Arial" w:cs="Arial"/>
                <w:b/>
              </w:rPr>
              <w:t>Recommendation:</w:t>
            </w:r>
          </w:p>
          <w:p w14:paraId="6BE0FFDC" w14:textId="77777777" w:rsidR="004F4241" w:rsidRPr="004F4241" w:rsidRDefault="004F4241" w:rsidP="004F4241">
            <w:pPr>
              <w:jc w:val="both"/>
              <w:rPr>
                <w:rFonts w:ascii="Arial" w:hAnsi="Arial" w:cs="Arial"/>
                <w:b/>
              </w:rPr>
            </w:pPr>
          </w:p>
          <w:p w14:paraId="31C4920F" w14:textId="77777777" w:rsidR="004F4241" w:rsidRPr="004F4241" w:rsidRDefault="004F4241" w:rsidP="004F4241">
            <w:pPr>
              <w:jc w:val="both"/>
              <w:rPr>
                <w:rFonts w:ascii="Arial" w:hAnsi="Arial" w:cs="Arial"/>
              </w:rPr>
            </w:pPr>
            <w:r w:rsidRPr="004F4241">
              <w:rPr>
                <w:rFonts w:ascii="Arial" w:hAnsi="Arial" w:cs="Arial"/>
              </w:rPr>
              <w:t xml:space="preserve">Members are asked to note the issues set out in the paper. </w:t>
            </w:r>
          </w:p>
          <w:p w14:paraId="5D241C18" w14:textId="77777777" w:rsidR="004F4241" w:rsidRPr="004F4241" w:rsidRDefault="004F4241" w:rsidP="004F4241">
            <w:pPr>
              <w:jc w:val="both"/>
              <w:rPr>
                <w:rFonts w:ascii="Arial" w:hAnsi="Arial" w:cs="Arial"/>
                <w:b/>
              </w:rPr>
            </w:pPr>
          </w:p>
          <w:p w14:paraId="0621BD5B" w14:textId="77777777" w:rsidR="006D7419" w:rsidRPr="006D7419" w:rsidRDefault="008A277C" w:rsidP="006D7419">
            <w:pPr>
              <w:spacing w:after="160" w:line="276" w:lineRule="auto"/>
              <w:rPr>
                <w:rFonts w:ascii="Arial" w:eastAsia="Calibri" w:hAnsi="Arial"/>
              </w:rPr>
            </w:pPr>
            <w:sdt>
              <w:sdtPr>
                <w:rPr>
                  <w:rFonts w:ascii="Arial" w:eastAsia="Calibri" w:hAnsi="Arial"/>
                  <w:b/>
                </w:rPr>
                <w:alias w:val="Action/s"/>
                <w:tag w:val="Action/s"/>
                <w:id w:val="450136090"/>
                <w:placeholder>
                  <w:docPart w:val="07DEE50371934BD8A3797CFAE802A60C"/>
                </w:placeholder>
              </w:sdtPr>
              <w:sdtEndPr/>
              <w:sdtContent>
                <w:r w:rsidR="006D7419" w:rsidRPr="006D7419">
                  <w:rPr>
                    <w:rFonts w:ascii="Arial" w:eastAsia="Calibri" w:hAnsi="Arial"/>
                    <w:b/>
                  </w:rPr>
                  <w:t>Action</w:t>
                </w:r>
              </w:sdtContent>
            </w:sdt>
          </w:p>
          <w:p w14:paraId="4D56ABF8" w14:textId="5769EE86" w:rsidR="00144D51" w:rsidRPr="00144D51" w:rsidRDefault="006D7419" w:rsidP="006D7419">
            <w:pPr>
              <w:rPr>
                <w:rFonts w:ascii="Arial" w:hAnsi="Arial" w:cs="Arial"/>
              </w:rPr>
            </w:pPr>
            <w:r w:rsidRPr="006D7419">
              <w:rPr>
                <w:rFonts w:ascii="Arial" w:eastAsia="Calibri" w:hAnsi="Arial"/>
              </w:rPr>
              <w:t>Officers are asked to note member comments</w:t>
            </w:r>
          </w:p>
          <w:p w14:paraId="11102E7A" w14:textId="77777777" w:rsidR="00F322D8" w:rsidRPr="00144D51" w:rsidRDefault="00F322D8" w:rsidP="00E77420">
            <w:pPr>
              <w:jc w:val="both"/>
              <w:rPr>
                <w:rFonts w:ascii="Arial" w:hAnsi="Arial" w:cs="Arial"/>
              </w:rPr>
            </w:pPr>
          </w:p>
          <w:p w14:paraId="34D3A895" w14:textId="77777777" w:rsidR="003D784A" w:rsidRPr="00144D51" w:rsidRDefault="003D784A" w:rsidP="00DA6E60">
            <w:pPr>
              <w:jc w:val="both"/>
              <w:rPr>
                <w:rFonts w:ascii="Arial" w:hAnsi="Arial" w:cs="Arial"/>
                <w:b/>
              </w:rPr>
            </w:pPr>
          </w:p>
          <w:p w14:paraId="36F720B0" w14:textId="77777777" w:rsidR="003D784A" w:rsidRPr="00144D51" w:rsidRDefault="003D784A" w:rsidP="00DA6E60">
            <w:pPr>
              <w:jc w:val="both"/>
              <w:rPr>
                <w:rFonts w:ascii="Arial" w:hAnsi="Arial" w:cs="Arial"/>
                <w:b/>
              </w:rPr>
            </w:pPr>
          </w:p>
          <w:p w14:paraId="41ADE17F" w14:textId="77777777" w:rsidR="00A17C81" w:rsidRPr="00144D51" w:rsidRDefault="00A17C81" w:rsidP="00DA6E60">
            <w:pPr>
              <w:jc w:val="both"/>
              <w:rPr>
                <w:rFonts w:ascii="Arial" w:hAnsi="Arial" w:cs="Arial"/>
                <w:b/>
              </w:rPr>
            </w:pPr>
          </w:p>
          <w:p w14:paraId="46B08BA5" w14:textId="77777777" w:rsidR="00F322D8" w:rsidRPr="00144D51" w:rsidRDefault="00F322D8" w:rsidP="004A7DA6">
            <w:pPr>
              <w:jc w:val="both"/>
              <w:rPr>
                <w:rFonts w:ascii="Arial" w:hAnsi="Arial" w:cs="Arial"/>
              </w:rPr>
            </w:pPr>
          </w:p>
        </w:tc>
      </w:tr>
    </w:tbl>
    <w:p w14:paraId="176F3960" w14:textId="77777777" w:rsidR="00487760" w:rsidRPr="008E647D" w:rsidRDefault="00487760" w:rsidP="00DA6E60">
      <w:pPr>
        <w:jc w:val="both"/>
        <w:rPr>
          <w:rFonts w:ascii="Arial" w:hAnsi="Arial" w:cs="Arial"/>
          <w:b/>
          <w:sz w:val="23"/>
          <w:szCs w:val="23"/>
        </w:rPr>
      </w:pPr>
    </w:p>
    <w:tbl>
      <w:tblPr>
        <w:tblW w:w="0" w:type="auto"/>
        <w:tblLook w:val="01E0" w:firstRow="1" w:lastRow="1" w:firstColumn="1" w:lastColumn="1" w:noHBand="0" w:noVBand="0"/>
      </w:tblPr>
      <w:tblGrid>
        <w:gridCol w:w="2271"/>
        <w:gridCol w:w="3456"/>
        <w:gridCol w:w="3456"/>
      </w:tblGrid>
      <w:tr w:rsidR="000062A7" w:rsidRPr="008E647D" w14:paraId="5C825703" w14:textId="77777777" w:rsidTr="1014C504">
        <w:trPr>
          <w:trHeight w:val="410"/>
        </w:trPr>
        <w:tc>
          <w:tcPr>
            <w:tcW w:w="2271" w:type="dxa"/>
          </w:tcPr>
          <w:p w14:paraId="20F8D23F"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b/>
                <w:sz w:val="23"/>
                <w:szCs w:val="23"/>
              </w:rPr>
              <w:t>Contact officer:</w:t>
            </w:r>
            <w:r w:rsidRPr="008E647D">
              <w:rPr>
                <w:rFonts w:ascii="Arial" w:hAnsi="Arial" w:cs="Arial"/>
                <w:sz w:val="23"/>
                <w:szCs w:val="23"/>
              </w:rPr>
              <w:t xml:space="preserve">  </w:t>
            </w:r>
          </w:p>
        </w:tc>
        <w:tc>
          <w:tcPr>
            <w:tcW w:w="3456" w:type="dxa"/>
          </w:tcPr>
          <w:p w14:paraId="04A68179" w14:textId="337D449D" w:rsidR="000062A7" w:rsidRPr="008E647D" w:rsidRDefault="000062A7" w:rsidP="000062A7">
            <w:pPr>
              <w:pStyle w:val="MainText"/>
              <w:tabs>
                <w:tab w:val="left" w:pos="4578"/>
              </w:tabs>
              <w:spacing w:after="120" w:line="240" w:lineRule="auto"/>
              <w:jc w:val="both"/>
              <w:rPr>
                <w:rFonts w:ascii="Arial" w:hAnsi="Arial" w:cs="Arial"/>
                <w:sz w:val="23"/>
                <w:szCs w:val="23"/>
              </w:rPr>
            </w:pPr>
            <w:r w:rsidRPr="1014C504">
              <w:rPr>
                <w:rFonts w:ascii="Arial" w:hAnsi="Arial" w:cs="Arial"/>
                <w:sz w:val="23"/>
                <w:szCs w:val="23"/>
              </w:rPr>
              <w:t xml:space="preserve">Gill Gittins (industrial relations) </w:t>
            </w:r>
          </w:p>
        </w:tc>
        <w:tc>
          <w:tcPr>
            <w:tcW w:w="3456" w:type="dxa"/>
          </w:tcPr>
          <w:p w14:paraId="02C1B67C" w14:textId="77777777" w:rsidR="000062A7" w:rsidRPr="008E647D" w:rsidRDefault="000062A7" w:rsidP="000062A7">
            <w:pPr>
              <w:pStyle w:val="MainText"/>
              <w:tabs>
                <w:tab w:val="left" w:pos="4578"/>
              </w:tabs>
              <w:spacing w:after="120" w:line="240" w:lineRule="auto"/>
              <w:jc w:val="both"/>
              <w:rPr>
                <w:rFonts w:ascii="Arial" w:hAnsi="Arial" w:cs="Arial"/>
                <w:sz w:val="23"/>
                <w:szCs w:val="23"/>
              </w:rPr>
            </w:pPr>
            <w:r>
              <w:rPr>
                <w:rFonts w:ascii="Arial" w:hAnsi="Arial" w:cs="Arial"/>
                <w:sz w:val="23"/>
                <w:szCs w:val="23"/>
              </w:rPr>
              <w:t>Clair Alcock (pensions)</w:t>
            </w:r>
          </w:p>
        </w:tc>
      </w:tr>
      <w:tr w:rsidR="000062A7" w:rsidRPr="008E647D" w14:paraId="242CC326" w14:textId="77777777" w:rsidTr="1014C504">
        <w:trPr>
          <w:trHeight w:val="394"/>
        </w:trPr>
        <w:tc>
          <w:tcPr>
            <w:tcW w:w="2271" w:type="dxa"/>
          </w:tcPr>
          <w:p w14:paraId="0F50EF21"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Position:</w:t>
            </w:r>
          </w:p>
        </w:tc>
        <w:tc>
          <w:tcPr>
            <w:tcW w:w="3456" w:type="dxa"/>
          </w:tcPr>
          <w:p w14:paraId="2EF271B9" w14:textId="77777777" w:rsidR="000062A7" w:rsidRPr="008E647D" w:rsidRDefault="00B77379" w:rsidP="00DA6E60">
            <w:pPr>
              <w:pStyle w:val="MainText"/>
              <w:spacing w:after="120" w:line="240" w:lineRule="auto"/>
              <w:jc w:val="both"/>
              <w:rPr>
                <w:rFonts w:ascii="Arial" w:hAnsi="Arial" w:cs="Arial"/>
                <w:sz w:val="23"/>
                <w:szCs w:val="23"/>
              </w:rPr>
            </w:pPr>
            <w:r>
              <w:rPr>
                <w:rFonts w:ascii="Arial" w:hAnsi="Arial" w:cs="Arial"/>
                <w:sz w:val="23"/>
                <w:szCs w:val="23"/>
              </w:rPr>
              <w:t>Senior Adviser (Workforce and Negotiations)</w:t>
            </w:r>
          </w:p>
        </w:tc>
        <w:tc>
          <w:tcPr>
            <w:tcW w:w="3456" w:type="dxa"/>
          </w:tcPr>
          <w:p w14:paraId="26018A8B" w14:textId="77777777" w:rsidR="000062A7" w:rsidRPr="008E647D" w:rsidRDefault="00F55359" w:rsidP="00DA6E60">
            <w:pPr>
              <w:pStyle w:val="MainText"/>
              <w:spacing w:after="120" w:line="240" w:lineRule="auto"/>
              <w:jc w:val="both"/>
              <w:rPr>
                <w:rFonts w:ascii="Arial" w:hAnsi="Arial" w:cs="Arial"/>
                <w:sz w:val="23"/>
                <w:szCs w:val="23"/>
              </w:rPr>
            </w:pPr>
            <w:r>
              <w:rPr>
                <w:rFonts w:ascii="Arial" w:hAnsi="Arial" w:cs="Arial"/>
                <w:sz w:val="23"/>
                <w:szCs w:val="23"/>
              </w:rPr>
              <w:t xml:space="preserve">Senior </w:t>
            </w:r>
            <w:r w:rsidR="00B72A7F">
              <w:rPr>
                <w:rFonts w:ascii="Arial" w:hAnsi="Arial" w:cs="Arial"/>
                <w:sz w:val="23"/>
                <w:szCs w:val="23"/>
              </w:rPr>
              <w:t>Fire Pensions A</w:t>
            </w:r>
            <w:r w:rsidR="000062A7">
              <w:rPr>
                <w:rFonts w:ascii="Arial" w:hAnsi="Arial" w:cs="Arial"/>
                <w:sz w:val="23"/>
                <w:szCs w:val="23"/>
              </w:rPr>
              <w:t>dviser</w:t>
            </w:r>
          </w:p>
        </w:tc>
      </w:tr>
      <w:tr w:rsidR="000062A7" w:rsidRPr="008E647D" w14:paraId="67E8EDF7" w14:textId="77777777" w:rsidTr="1014C504">
        <w:trPr>
          <w:trHeight w:val="410"/>
        </w:trPr>
        <w:tc>
          <w:tcPr>
            <w:tcW w:w="2271" w:type="dxa"/>
          </w:tcPr>
          <w:p w14:paraId="64475BAC"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Phone no:</w:t>
            </w:r>
          </w:p>
        </w:tc>
        <w:tc>
          <w:tcPr>
            <w:tcW w:w="3456" w:type="dxa"/>
          </w:tcPr>
          <w:p w14:paraId="2094D1A5"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020 7187 7335</w:t>
            </w:r>
          </w:p>
        </w:tc>
        <w:tc>
          <w:tcPr>
            <w:tcW w:w="3456" w:type="dxa"/>
          </w:tcPr>
          <w:p w14:paraId="083B5999" w14:textId="77777777" w:rsidR="000062A7" w:rsidRPr="008E647D" w:rsidRDefault="000062A7" w:rsidP="00DA6E60">
            <w:pPr>
              <w:pStyle w:val="MainText"/>
              <w:spacing w:after="120" w:line="240" w:lineRule="auto"/>
              <w:jc w:val="both"/>
              <w:rPr>
                <w:rFonts w:ascii="Arial" w:hAnsi="Arial" w:cs="Arial"/>
                <w:sz w:val="23"/>
                <w:szCs w:val="23"/>
              </w:rPr>
            </w:pPr>
            <w:r>
              <w:rPr>
                <w:rFonts w:ascii="Arial" w:hAnsi="Arial" w:cs="Arial"/>
                <w:sz w:val="23"/>
                <w:szCs w:val="23"/>
              </w:rPr>
              <w:t xml:space="preserve">020 </w:t>
            </w:r>
            <w:r w:rsidR="00B72A7F" w:rsidRPr="00B72A7F">
              <w:rPr>
                <w:rFonts w:ascii="Arial" w:hAnsi="Arial" w:cs="Arial"/>
                <w:color w:val="000000"/>
                <w:sz w:val="23"/>
                <w:szCs w:val="23"/>
              </w:rPr>
              <w:t>7664 3189</w:t>
            </w:r>
            <w:r>
              <w:rPr>
                <w:rFonts w:ascii="Arial" w:hAnsi="Arial" w:cs="Arial"/>
                <w:sz w:val="23"/>
                <w:szCs w:val="23"/>
              </w:rPr>
              <w:t xml:space="preserve"> </w:t>
            </w:r>
          </w:p>
        </w:tc>
      </w:tr>
      <w:tr w:rsidR="000062A7" w:rsidRPr="008E647D" w14:paraId="160D3DF7" w14:textId="77777777" w:rsidTr="1014C504">
        <w:trPr>
          <w:trHeight w:val="394"/>
        </w:trPr>
        <w:tc>
          <w:tcPr>
            <w:tcW w:w="2271" w:type="dxa"/>
          </w:tcPr>
          <w:p w14:paraId="6DFDFD16"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E-mail:</w:t>
            </w:r>
          </w:p>
        </w:tc>
        <w:tc>
          <w:tcPr>
            <w:tcW w:w="3456" w:type="dxa"/>
          </w:tcPr>
          <w:p w14:paraId="43E32576"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gill.gittins@local.gov.uk</w:t>
            </w:r>
          </w:p>
        </w:tc>
        <w:tc>
          <w:tcPr>
            <w:tcW w:w="3456" w:type="dxa"/>
          </w:tcPr>
          <w:p w14:paraId="7C20EC11" w14:textId="77777777" w:rsidR="000062A7" w:rsidRPr="008E647D" w:rsidRDefault="00B72A7F" w:rsidP="00DA6E60">
            <w:pPr>
              <w:pStyle w:val="MainText"/>
              <w:spacing w:after="120" w:line="240" w:lineRule="auto"/>
              <w:jc w:val="both"/>
              <w:rPr>
                <w:rFonts w:ascii="Arial" w:hAnsi="Arial" w:cs="Arial"/>
                <w:sz w:val="23"/>
                <w:szCs w:val="23"/>
              </w:rPr>
            </w:pPr>
            <w:r>
              <w:rPr>
                <w:rFonts w:ascii="Arial" w:hAnsi="Arial" w:cs="Arial"/>
                <w:sz w:val="23"/>
                <w:szCs w:val="23"/>
              </w:rPr>
              <w:t>clair.alcock@local.gov.uk</w:t>
            </w:r>
          </w:p>
        </w:tc>
      </w:tr>
      <w:tr w:rsidR="00465802" w:rsidRPr="008E647D" w14:paraId="34967CAD" w14:textId="77777777" w:rsidTr="1014C504">
        <w:trPr>
          <w:trHeight w:val="410"/>
        </w:trPr>
        <w:tc>
          <w:tcPr>
            <w:tcW w:w="2271" w:type="dxa"/>
          </w:tcPr>
          <w:p w14:paraId="150EF4E4" w14:textId="77777777" w:rsidR="00465802" w:rsidRPr="008E647D" w:rsidRDefault="00465802" w:rsidP="00465802">
            <w:pPr>
              <w:pStyle w:val="MainText"/>
              <w:spacing w:after="120" w:line="240" w:lineRule="auto"/>
              <w:jc w:val="both"/>
              <w:rPr>
                <w:rFonts w:ascii="Arial" w:hAnsi="Arial" w:cs="Arial"/>
                <w:b/>
                <w:sz w:val="23"/>
                <w:szCs w:val="23"/>
              </w:rPr>
            </w:pPr>
          </w:p>
        </w:tc>
        <w:tc>
          <w:tcPr>
            <w:tcW w:w="3456" w:type="dxa"/>
          </w:tcPr>
          <w:p w14:paraId="79D57F3B" w14:textId="77777777" w:rsidR="00465802" w:rsidRPr="008E647D" w:rsidRDefault="00465802" w:rsidP="00465802">
            <w:pPr>
              <w:pStyle w:val="MainText"/>
              <w:tabs>
                <w:tab w:val="left" w:pos="4578"/>
              </w:tabs>
              <w:spacing w:after="120" w:line="240" w:lineRule="auto"/>
              <w:jc w:val="both"/>
              <w:rPr>
                <w:rFonts w:ascii="Arial" w:hAnsi="Arial" w:cs="Arial"/>
                <w:sz w:val="23"/>
                <w:szCs w:val="23"/>
              </w:rPr>
            </w:pPr>
          </w:p>
        </w:tc>
        <w:tc>
          <w:tcPr>
            <w:tcW w:w="3456" w:type="dxa"/>
          </w:tcPr>
          <w:p w14:paraId="0E7EE150" w14:textId="77777777" w:rsidR="00465802" w:rsidRDefault="00465802" w:rsidP="00465802">
            <w:pPr>
              <w:pStyle w:val="MainText"/>
              <w:tabs>
                <w:tab w:val="left" w:pos="4578"/>
              </w:tabs>
              <w:spacing w:after="120" w:line="240" w:lineRule="auto"/>
              <w:jc w:val="both"/>
              <w:rPr>
                <w:rFonts w:ascii="Arial" w:hAnsi="Arial" w:cs="Arial"/>
                <w:sz w:val="23"/>
                <w:szCs w:val="23"/>
              </w:rPr>
            </w:pPr>
          </w:p>
        </w:tc>
      </w:tr>
      <w:tr w:rsidR="00465802" w:rsidRPr="008E647D" w14:paraId="366032E6" w14:textId="77777777" w:rsidTr="1014C504">
        <w:trPr>
          <w:trHeight w:val="394"/>
        </w:trPr>
        <w:tc>
          <w:tcPr>
            <w:tcW w:w="2271" w:type="dxa"/>
          </w:tcPr>
          <w:p w14:paraId="0C39BEAF" w14:textId="77777777" w:rsidR="00465802" w:rsidRPr="008E647D" w:rsidRDefault="00465802" w:rsidP="00DA6E60">
            <w:pPr>
              <w:pStyle w:val="MainText"/>
              <w:spacing w:after="120" w:line="240" w:lineRule="auto"/>
              <w:jc w:val="both"/>
              <w:rPr>
                <w:rFonts w:ascii="Arial" w:hAnsi="Arial" w:cs="Arial"/>
                <w:b/>
                <w:sz w:val="23"/>
                <w:szCs w:val="23"/>
              </w:rPr>
            </w:pPr>
          </w:p>
        </w:tc>
        <w:tc>
          <w:tcPr>
            <w:tcW w:w="3456" w:type="dxa"/>
          </w:tcPr>
          <w:p w14:paraId="1E54FE24" w14:textId="77777777" w:rsidR="00465802" w:rsidRPr="008E647D" w:rsidRDefault="00465802" w:rsidP="00DA6E60">
            <w:pPr>
              <w:pStyle w:val="MainText"/>
              <w:spacing w:after="120" w:line="240" w:lineRule="auto"/>
              <w:jc w:val="both"/>
              <w:rPr>
                <w:rFonts w:ascii="Arial" w:hAnsi="Arial" w:cs="Arial"/>
                <w:sz w:val="23"/>
                <w:szCs w:val="23"/>
              </w:rPr>
            </w:pPr>
          </w:p>
        </w:tc>
        <w:tc>
          <w:tcPr>
            <w:tcW w:w="3456" w:type="dxa"/>
          </w:tcPr>
          <w:p w14:paraId="3DA67841" w14:textId="77777777" w:rsidR="00465802" w:rsidRDefault="00465802" w:rsidP="00DA6E60">
            <w:pPr>
              <w:pStyle w:val="MainText"/>
              <w:spacing w:after="120" w:line="240" w:lineRule="auto"/>
              <w:jc w:val="both"/>
              <w:rPr>
                <w:rFonts w:ascii="Arial" w:hAnsi="Arial" w:cs="Arial"/>
                <w:sz w:val="23"/>
                <w:szCs w:val="23"/>
              </w:rPr>
            </w:pPr>
          </w:p>
        </w:tc>
      </w:tr>
      <w:tr w:rsidR="00465802" w:rsidRPr="008E647D" w14:paraId="71596B5F" w14:textId="77777777" w:rsidTr="1014C504">
        <w:trPr>
          <w:trHeight w:val="394"/>
        </w:trPr>
        <w:tc>
          <w:tcPr>
            <w:tcW w:w="2271" w:type="dxa"/>
          </w:tcPr>
          <w:p w14:paraId="238D80DE" w14:textId="77777777" w:rsidR="00465802" w:rsidRPr="008E647D" w:rsidRDefault="00465802" w:rsidP="00DA6E60">
            <w:pPr>
              <w:pStyle w:val="MainText"/>
              <w:spacing w:after="120" w:line="240" w:lineRule="auto"/>
              <w:jc w:val="both"/>
              <w:rPr>
                <w:rFonts w:ascii="Arial" w:hAnsi="Arial" w:cs="Arial"/>
                <w:b/>
                <w:sz w:val="23"/>
                <w:szCs w:val="23"/>
              </w:rPr>
            </w:pPr>
          </w:p>
        </w:tc>
        <w:tc>
          <w:tcPr>
            <w:tcW w:w="3456" w:type="dxa"/>
          </w:tcPr>
          <w:p w14:paraId="069579ED" w14:textId="77777777" w:rsidR="00465802" w:rsidRPr="008E647D" w:rsidRDefault="00465802" w:rsidP="00DA6E60">
            <w:pPr>
              <w:pStyle w:val="MainText"/>
              <w:spacing w:after="120" w:line="240" w:lineRule="auto"/>
              <w:jc w:val="both"/>
              <w:rPr>
                <w:rFonts w:ascii="Arial" w:hAnsi="Arial" w:cs="Arial"/>
                <w:sz w:val="23"/>
                <w:szCs w:val="23"/>
              </w:rPr>
            </w:pPr>
          </w:p>
        </w:tc>
        <w:tc>
          <w:tcPr>
            <w:tcW w:w="3456" w:type="dxa"/>
          </w:tcPr>
          <w:p w14:paraId="2F733232" w14:textId="77777777" w:rsidR="00465802" w:rsidRDefault="00465802" w:rsidP="00DA6E60">
            <w:pPr>
              <w:pStyle w:val="MainText"/>
              <w:spacing w:after="120" w:line="240" w:lineRule="auto"/>
              <w:jc w:val="both"/>
              <w:rPr>
                <w:rFonts w:ascii="Arial" w:hAnsi="Arial" w:cs="Arial"/>
                <w:sz w:val="23"/>
                <w:szCs w:val="23"/>
              </w:rPr>
            </w:pPr>
          </w:p>
        </w:tc>
      </w:tr>
    </w:tbl>
    <w:p w14:paraId="0E791918" w14:textId="77777777" w:rsidR="00125C8D" w:rsidRDefault="00125C8D" w:rsidP="003B6B91">
      <w:pPr>
        <w:pStyle w:val="ListParagraph"/>
        <w:ind w:left="567" w:hanging="567"/>
        <w:rPr>
          <w:rFonts w:ascii="Arial" w:hAnsi="Arial" w:cs="Arial"/>
          <w:b/>
        </w:rPr>
      </w:pPr>
    </w:p>
    <w:p w14:paraId="56C471AD" w14:textId="77777777" w:rsidR="00125C8D" w:rsidRDefault="00125C8D">
      <w:pPr>
        <w:rPr>
          <w:rFonts w:ascii="Arial" w:hAnsi="Arial" w:cs="Arial"/>
          <w:b/>
        </w:rPr>
      </w:pPr>
      <w:r>
        <w:rPr>
          <w:rFonts w:ascii="Arial" w:hAnsi="Arial" w:cs="Arial"/>
          <w:b/>
        </w:rPr>
        <w:br w:type="page"/>
      </w:r>
    </w:p>
    <w:p w14:paraId="4949F062" w14:textId="77777777" w:rsidR="00823BFE" w:rsidRPr="002C1EF2" w:rsidRDefault="00823BFE" w:rsidP="00823BFE">
      <w:pPr>
        <w:pStyle w:val="ListParagraph"/>
        <w:ind w:hanging="720"/>
        <w:rPr>
          <w:rFonts w:ascii="Arial" w:hAnsi="Arial" w:cs="Arial"/>
          <w:b/>
          <w:lang w:eastAsia="en-GB"/>
        </w:rPr>
      </w:pPr>
      <w:r w:rsidRPr="002C1EF2">
        <w:rPr>
          <w:rFonts w:ascii="Arial" w:hAnsi="Arial" w:cs="Arial"/>
          <w:b/>
          <w:lang w:eastAsia="en-GB"/>
        </w:rPr>
        <w:lastRenderedPageBreak/>
        <w:t>PENSIONS</w:t>
      </w:r>
    </w:p>
    <w:p w14:paraId="3497C714" w14:textId="77777777" w:rsidR="00823BFE" w:rsidRPr="002C1EF2" w:rsidRDefault="00823BFE" w:rsidP="00823BFE">
      <w:pPr>
        <w:widowControl w:val="0"/>
        <w:overflowPunct w:val="0"/>
        <w:autoSpaceDE w:val="0"/>
        <w:autoSpaceDN w:val="0"/>
        <w:adjustRightInd w:val="0"/>
        <w:spacing w:after="200" w:line="276" w:lineRule="auto"/>
        <w:contextualSpacing/>
        <w:jc w:val="both"/>
        <w:textAlignment w:val="baseline"/>
        <w:rPr>
          <w:rFonts w:ascii="Arial" w:hAnsi="Arial" w:cs="Arial"/>
          <w:lang w:eastAsia="en-GB"/>
        </w:rPr>
      </w:pPr>
    </w:p>
    <w:p w14:paraId="0E9FAA3B" w14:textId="77777777" w:rsidR="00A80470" w:rsidRPr="007C737D" w:rsidRDefault="00A80470" w:rsidP="00A80470">
      <w:pPr>
        <w:ind w:left="567" w:hanging="567"/>
        <w:jc w:val="both"/>
        <w:rPr>
          <w:rFonts w:ascii="Arial" w:hAnsi="Arial" w:cs="Arial"/>
          <w:b/>
          <w:bCs/>
          <w:iCs/>
          <w:lang w:val="en-US"/>
        </w:rPr>
      </w:pPr>
      <w:r w:rsidRPr="007C737D">
        <w:rPr>
          <w:rFonts w:ascii="Arial" w:hAnsi="Arial" w:cs="Arial"/>
          <w:b/>
          <w:bCs/>
          <w:iCs/>
          <w:lang w:val="en-US"/>
        </w:rPr>
        <w:t>Age Discrimination Remedy</w:t>
      </w:r>
    </w:p>
    <w:p w14:paraId="1E5260D8" w14:textId="77777777" w:rsidR="00A80470" w:rsidRPr="002C1EF2" w:rsidRDefault="00A80470" w:rsidP="00A80470">
      <w:pPr>
        <w:pStyle w:val="ListParagraph"/>
        <w:ind w:left="567"/>
        <w:jc w:val="both"/>
        <w:rPr>
          <w:rFonts w:ascii="Arial" w:hAnsi="Arial" w:cs="Arial"/>
          <w:noProof/>
          <w:color w:val="000000"/>
          <w:lang w:eastAsia="en-GB"/>
        </w:rPr>
      </w:pPr>
    </w:p>
    <w:p w14:paraId="7F88468A" w14:textId="4EBC7000" w:rsidR="00BE72C8" w:rsidRPr="0022435D" w:rsidRDefault="00302A0C" w:rsidP="00BE72C8">
      <w:pPr>
        <w:pStyle w:val="ListParagraph"/>
        <w:numPr>
          <w:ilvl w:val="0"/>
          <w:numId w:val="1"/>
        </w:numPr>
        <w:ind w:left="567" w:hanging="567"/>
        <w:jc w:val="both"/>
        <w:rPr>
          <w:rFonts w:ascii="Arial" w:hAnsi="Arial" w:cs="Arial"/>
          <w:lang w:eastAsia="en-GB"/>
        </w:rPr>
      </w:pPr>
      <w:r w:rsidRPr="008B416A">
        <w:rPr>
          <w:rFonts w:ascii="Arial" w:hAnsi="Arial" w:cs="Arial"/>
          <w:color w:val="333333"/>
          <w:shd w:val="clear" w:color="auto" w:fill="FFFFFF"/>
        </w:rPr>
        <w:t xml:space="preserve">On 4 February 2021 the government published its </w:t>
      </w:r>
      <w:hyperlink r:id="rId11" w:history="1">
        <w:r w:rsidRPr="008B416A">
          <w:rPr>
            <w:rStyle w:val="Hyperlink"/>
            <w:rFonts w:ascii="Arial" w:hAnsi="Arial" w:cs="Arial"/>
            <w:shd w:val="clear" w:color="auto" w:fill="FFFFFF"/>
          </w:rPr>
          <w:t>consultation response</w:t>
        </w:r>
      </w:hyperlink>
      <w:r w:rsidRPr="008B416A">
        <w:rPr>
          <w:rFonts w:ascii="Arial" w:hAnsi="Arial" w:cs="Arial"/>
          <w:color w:val="333333"/>
          <w:shd w:val="clear" w:color="auto" w:fill="FFFFFF"/>
        </w:rPr>
        <w:t xml:space="preserve"> on how it intends to remove the discrimination identified by the courts in the 2015 pension reforms through changes to primary legislation and Firefighters’ Pension Schemes regulations.</w:t>
      </w:r>
      <w:r w:rsidR="008D568F" w:rsidRPr="008B416A">
        <w:rPr>
          <w:rFonts w:ascii="Arial" w:hAnsi="Arial" w:cs="Arial"/>
          <w:color w:val="333333"/>
          <w:shd w:val="clear" w:color="auto" w:fill="FFFFFF"/>
        </w:rPr>
        <w:t xml:space="preserve">  </w:t>
      </w:r>
      <w:r w:rsidR="0022435D" w:rsidRPr="0022435D">
        <w:rPr>
          <w:rFonts w:ascii="Arial" w:hAnsi="Arial" w:cs="Arial"/>
        </w:rPr>
        <w:t xml:space="preserve">More information can be found on our </w:t>
      </w:r>
      <w:hyperlink r:id="rId12" w:history="1">
        <w:r w:rsidR="0022435D" w:rsidRPr="0022435D">
          <w:rPr>
            <w:rStyle w:val="Hyperlink"/>
            <w:rFonts w:ascii="Arial" w:hAnsi="Arial" w:cs="Arial"/>
          </w:rPr>
          <w:t>age discrimination remedy implementation</w:t>
        </w:r>
      </w:hyperlink>
      <w:r w:rsidR="0022435D" w:rsidRPr="0022435D">
        <w:rPr>
          <w:rFonts w:ascii="Arial" w:hAnsi="Arial" w:cs="Arial"/>
        </w:rPr>
        <w:t xml:space="preserve"> page.</w:t>
      </w:r>
    </w:p>
    <w:p w14:paraId="770EA417" w14:textId="77777777" w:rsidR="00BE72C8" w:rsidRPr="0022435D" w:rsidRDefault="00BE72C8" w:rsidP="00BE72C8">
      <w:pPr>
        <w:pStyle w:val="ListParagraph"/>
        <w:ind w:left="567"/>
        <w:jc w:val="both"/>
        <w:rPr>
          <w:rFonts w:ascii="Arial" w:hAnsi="Arial" w:cs="Arial"/>
          <w:lang w:eastAsia="en-GB"/>
        </w:rPr>
      </w:pPr>
    </w:p>
    <w:p w14:paraId="460AAD75" w14:textId="77777777" w:rsidR="006771AE" w:rsidRDefault="00D005E3" w:rsidP="006771AE">
      <w:pPr>
        <w:pStyle w:val="ListParagraph"/>
        <w:numPr>
          <w:ilvl w:val="0"/>
          <w:numId w:val="1"/>
        </w:numPr>
        <w:ind w:left="567" w:hanging="567"/>
        <w:jc w:val="both"/>
        <w:rPr>
          <w:rFonts w:ascii="Arial" w:hAnsi="Arial" w:cs="Arial"/>
          <w:lang w:eastAsia="en-GB"/>
        </w:rPr>
      </w:pPr>
      <w:r w:rsidRPr="00BE72C8">
        <w:rPr>
          <w:rFonts w:ascii="Arial" w:hAnsi="Arial" w:cs="Arial"/>
        </w:rPr>
        <w:t>The response confirms that discrimination will be addressed in two parts</w:t>
      </w:r>
      <w:r w:rsidR="00604AC4">
        <w:rPr>
          <w:rFonts w:ascii="Arial" w:hAnsi="Arial" w:cs="Arial"/>
        </w:rPr>
        <w:t xml:space="preserve">; </w:t>
      </w:r>
      <w:r w:rsidR="00604AC4" w:rsidRPr="00F65D69">
        <w:rPr>
          <w:rFonts w:ascii="Arial" w:hAnsi="Arial" w:cs="Arial"/>
          <w:color w:val="333333"/>
          <w:shd w:val="clear" w:color="auto" w:fill="FFFFFF"/>
        </w:rPr>
        <w:t>the first is prospectively for future benefits from 1 April 2022, the second is retrospectively for benefits built up during the period of discrimination 1 April 2015 to 31 March 2022 (the remedy period). </w:t>
      </w:r>
      <w:r w:rsidRPr="00BE72C8">
        <w:rPr>
          <w:rFonts w:ascii="Arial" w:hAnsi="Arial" w:cs="Arial"/>
        </w:rPr>
        <w:t xml:space="preserve"> </w:t>
      </w:r>
    </w:p>
    <w:p w14:paraId="22AD2D69" w14:textId="77777777" w:rsidR="006771AE" w:rsidRPr="006771AE" w:rsidRDefault="006771AE" w:rsidP="006771AE">
      <w:pPr>
        <w:pStyle w:val="ListParagraph"/>
        <w:rPr>
          <w:rFonts w:ascii="Arial" w:hAnsi="Arial" w:cs="Arial"/>
          <w:b/>
          <w:bCs/>
        </w:rPr>
      </w:pPr>
    </w:p>
    <w:p w14:paraId="48DCEB72" w14:textId="22E5E9B0" w:rsidR="008916A1" w:rsidRDefault="00EC4559" w:rsidP="008916A1">
      <w:pPr>
        <w:pStyle w:val="ListParagraph"/>
        <w:numPr>
          <w:ilvl w:val="0"/>
          <w:numId w:val="1"/>
        </w:numPr>
        <w:ind w:left="567" w:hanging="567"/>
        <w:jc w:val="both"/>
        <w:rPr>
          <w:rFonts w:ascii="Arial" w:hAnsi="Arial" w:cs="Arial"/>
          <w:lang w:eastAsia="en-GB"/>
        </w:rPr>
      </w:pPr>
      <w:r w:rsidRPr="006771AE">
        <w:rPr>
          <w:rFonts w:ascii="Arial" w:hAnsi="Arial" w:cs="Arial"/>
          <w:b/>
          <w:bCs/>
        </w:rPr>
        <w:t>Prospectively</w:t>
      </w:r>
      <w:r w:rsidR="004F2EEA">
        <w:rPr>
          <w:rFonts w:ascii="Arial" w:hAnsi="Arial" w:cs="Arial"/>
        </w:rPr>
        <w:t>, t</w:t>
      </w:r>
      <w:r w:rsidR="00604AC4" w:rsidRPr="006771AE">
        <w:rPr>
          <w:rFonts w:ascii="Arial" w:hAnsi="Arial" w:cs="Arial"/>
        </w:rPr>
        <w:t>o remove future discrimination from the schemes and ensure equal treatment</w:t>
      </w:r>
      <w:r w:rsidR="004F2EEA">
        <w:rPr>
          <w:rFonts w:ascii="Arial" w:hAnsi="Arial" w:cs="Arial"/>
        </w:rPr>
        <w:t>.  A</w:t>
      </w:r>
      <w:r w:rsidR="00604AC4" w:rsidRPr="006771AE">
        <w:rPr>
          <w:rFonts w:ascii="Arial" w:hAnsi="Arial" w:cs="Arial"/>
        </w:rPr>
        <w:t>ll remaining protected members who are not currently members of FPS 2015 will transfer into this scheme on 1 April 2022.</w:t>
      </w:r>
    </w:p>
    <w:p w14:paraId="5E414E7A" w14:textId="77777777" w:rsidR="008916A1" w:rsidRPr="008916A1" w:rsidRDefault="008916A1" w:rsidP="008916A1">
      <w:pPr>
        <w:pStyle w:val="ListParagraph"/>
        <w:rPr>
          <w:rFonts w:ascii="Arial" w:hAnsi="Arial" w:cs="Arial"/>
        </w:rPr>
      </w:pPr>
    </w:p>
    <w:p w14:paraId="6A062D36" w14:textId="77777777" w:rsidR="008916A1" w:rsidRDefault="00604AC4" w:rsidP="008916A1">
      <w:pPr>
        <w:pStyle w:val="ListParagraph"/>
        <w:numPr>
          <w:ilvl w:val="0"/>
          <w:numId w:val="1"/>
        </w:numPr>
        <w:ind w:left="567" w:hanging="567"/>
        <w:jc w:val="both"/>
        <w:rPr>
          <w:rFonts w:ascii="Arial" w:hAnsi="Arial" w:cs="Arial"/>
          <w:lang w:eastAsia="en-GB"/>
        </w:rPr>
      </w:pPr>
      <w:r w:rsidRPr="008916A1">
        <w:rPr>
          <w:rFonts w:ascii="Arial" w:hAnsi="Arial" w:cs="Arial"/>
        </w:rPr>
        <w:t>This means that all future service for all members will build up in the reformed CARE scheme. Final salary benefits already built up are fully protected.</w:t>
      </w:r>
    </w:p>
    <w:p w14:paraId="0A016463" w14:textId="77777777" w:rsidR="008916A1" w:rsidRPr="008916A1" w:rsidRDefault="008916A1" w:rsidP="008916A1">
      <w:pPr>
        <w:pStyle w:val="ListParagraph"/>
        <w:rPr>
          <w:rFonts w:ascii="Arial" w:hAnsi="Arial" w:cs="Arial"/>
        </w:rPr>
      </w:pPr>
    </w:p>
    <w:p w14:paraId="5AFE2ACA" w14:textId="77777777" w:rsidR="008916A1" w:rsidRDefault="00B136C1" w:rsidP="008916A1">
      <w:pPr>
        <w:pStyle w:val="ListParagraph"/>
        <w:numPr>
          <w:ilvl w:val="0"/>
          <w:numId w:val="1"/>
        </w:numPr>
        <w:ind w:left="567" w:hanging="567"/>
        <w:jc w:val="both"/>
        <w:rPr>
          <w:rFonts w:ascii="Arial" w:hAnsi="Arial" w:cs="Arial"/>
          <w:lang w:eastAsia="en-GB"/>
        </w:rPr>
      </w:pPr>
      <w:r w:rsidRPr="008916A1">
        <w:rPr>
          <w:rFonts w:ascii="Arial" w:hAnsi="Arial" w:cs="Arial"/>
        </w:rPr>
        <w:t>While we expect that transferring remaining members into FPS 2015 at 1 April 2022 will be relatively straightforward</w:t>
      </w:r>
      <w:r w:rsidR="008A377E" w:rsidRPr="008916A1">
        <w:rPr>
          <w:rFonts w:ascii="Arial" w:hAnsi="Arial" w:cs="Arial"/>
        </w:rPr>
        <w:t xml:space="preserve"> in terms of process</w:t>
      </w:r>
      <w:r w:rsidR="004F605B" w:rsidRPr="008916A1">
        <w:rPr>
          <w:rFonts w:ascii="Arial" w:hAnsi="Arial" w:cs="Arial"/>
        </w:rPr>
        <w:t xml:space="preserve">, there will be an immediate requirement to communicate to affected members what this means for them. </w:t>
      </w:r>
      <w:r w:rsidR="007E119B" w:rsidRPr="008916A1">
        <w:rPr>
          <w:rFonts w:ascii="Arial" w:hAnsi="Arial" w:cs="Arial"/>
        </w:rPr>
        <w:t>Early indications are t</w:t>
      </w:r>
      <w:r w:rsidR="00BF33DD" w:rsidRPr="008916A1">
        <w:rPr>
          <w:rFonts w:ascii="Arial" w:hAnsi="Arial" w:cs="Arial"/>
        </w:rPr>
        <w:t>here are 375 members who will move into FPS 2015 at 1 April 2022.</w:t>
      </w:r>
    </w:p>
    <w:p w14:paraId="63BC7813" w14:textId="77777777" w:rsidR="008916A1" w:rsidRPr="008916A1" w:rsidRDefault="008916A1" w:rsidP="008916A1">
      <w:pPr>
        <w:pStyle w:val="ListParagraph"/>
        <w:rPr>
          <w:rFonts w:ascii="Arial" w:hAnsi="Arial" w:cs="Arial"/>
          <w:b/>
          <w:bCs/>
        </w:rPr>
      </w:pPr>
    </w:p>
    <w:p w14:paraId="441119F8" w14:textId="688589EA" w:rsidR="008916A1" w:rsidRDefault="00EC4559" w:rsidP="008916A1">
      <w:pPr>
        <w:pStyle w:val="ListParagraph"/>
        <w:numPr>
          <w:ilvl w:val="0"/>
          <w:numId w:val="1"/>
        </w:numPr>
        <w:ind w:left="567" w:hanging="567"/>
        <w:jc w:val="both"/>
        <w:rPr>
          <w:rFonts w:ascii="Arial" w:hAnsi="Arial" w:cs="Arial"/>
          <w:lang w:eastAsia="en-GB"/>
        </w:rPr>
      </w:pPr>
      <w:r w:rsidRPr="008916A1">
        <w:rPr>
          <w:rFonts w:ascii="Arial" w:hAnsi="Arial" w:cs="Arial"/>
          <w:b/>
          <w:bCs/>
        </w:rPr>
        <w:t>Retrospectively</w:t>
      </w:r>
      <w:r w:rsidRPr="008916A1">
        <w:rPr>
          <w:rFonts w:ascii="Arial" w:hAnsi="Arial" w:cs="Arial"/>
        </w:rPr>
        <w:t>,</w:t>
      </w:r>
      <w:r w:rsidR="00604AC4" w:rsidRPr="008916A1">
        <w:rPr>
          <w:rFonts w:ascii="Arial" w:hAnsi="Arial" w:cs="Arial"/>
        </w:rPr>
        <w:t xml:space="preserve"> </w:t>
      </w:r>
      <w:r w:rsidR="005B2153">
        <w:rPr>
          <w:rFonts w:ascii="Arial" w:hAnsi="Arial" w:cs="Arial"/>
        </w:rPr>
        <w:t>f</w:t>
      </w:r>
      <w:r w:rsidR="00604AC4" w:rsidRPr="008916A1">
        <w:rPr>
          <w:rFonts w:ascii="Arial" w:hAnsi="Arial" w:cs="Arial"/>
        </w:rPr>
        <w:t xml:space="preserve">or benefits built up during the period of discrimination, 1 April 2015 to 31 March </w:t>
      </w:r>
      <w:r w:rsidR="001636B4" w:rsidRPr="008916A1">
        <w:rPr>
          <w:rFonts w:ascii="Arial" w:hAnsi="Arial" w:cs="Arial"/>
        </w:rPr>
        <w:t>2022</w:t>
      </w:r>
      <w:r w:rsidR="001636B4">
        <w:rPr>
          <w:rFonts w:ascii="Arial" w:hAnsi="Arial" w:cs="Arial"/>
        </w:rPr>
        <w:t>.  Unprotected</w:t>
      </w:r>
      <w:r w:rsidR="00604AC4" w:rsidRPr="008916A1">
        <w:rPr>
          <w:rFonts w:ascii="Arial" w:hAnsi="Arial" w:cs="Arial"/>
        </w:rPr>
        <w:t xml:space="preserve"> and taper members will be credited with final salary build-up in their original scheme. At retirement, all members will be able to keep their legacy final salary benefits or choose to receive the CARE benefits that they would have built up in the same period. </w:t>
      </w:r>
      <w:r w:rsidR="00553642" w:rsidRPr="008916A1">
        <w:rPr>
          <w:rFonts w:ascii="Arial" w:hAnsi="Arial" w:cs="Arial"/>
        </w:rPr>
        <w:t xml:space="preserve">  This is known as Deferred Choice Underpin. (DCU)</w:t>
      </w:r>
      <w:r w:rsidR="006771AE" w:rsidRPr="008916A1">
        <w:rPr>
          <w:rFonts w:ascii="Arial" w:hAnsi="Arial" w:cs="Arial"/>
        </w:rPr>
        <w:t>.</w:t>
      </w:r>
    </w:p>
    <w:p w14:paraId="5F1E16D5" w14:textId="77777777" w:rsidR="008916A1" w:rsidRPr="008916A1" w:rsidRDefault="008916A1" w:rsidP="008916A1">
      <w:pPr>
        <w:pStyle w:val="ListParagraph"/>
        <w:rPr>
          <w:rFonts w:ascii="Arial" w:hAnsi="Arial" w:cs="Arial"/>
        </w:rPr>
      </w:pPr>
    </w:p>
    <w:p w14:paraId="61A2A627" w14:textId="798A2742" w:rsidR="006771AE" w:rsidRPr="008916A1" w:rsidRDefault="006771AE" w:rsidP="008916A1">
      <w:pPr>
        <w:pStyle w:val="ListParagraph"/>
        <w:numPr>
          <w:ilvl w:val="0"/>
          <w:numId w:val="1"/>
        </w:numPr>
        <w:ind w:left="567" w:hanging="567"/>
        <w:jc w:val="both"/>
        <w:rPr>
          <w:rFonts w:ascii="Arial" w:hAnsi="Arial" w:cs="Arial"/>
          <w:lang w:eastAsia="en-GB"/>
        </w:rPr>
      </w:pPr>
      <w:r w:rsidRPr="008916A1">
        <w:rPr>
          <w:rFonts w:ascii="Arial" w:hAnsi="Arial" w:cs="Arial"/>
        </w:rPr>
        <w:t xml:space="preserve">The conversion of CARE benefits into final salary will involve complex administrative processes with adjustments of pay, contributions, tax relief, and pensions tax liabilities. </w:t>
      </w:r>
    </w:p>
    <w:p w14:paraId="14C195F5" w14:textId="77777777" w:rsidR="006771AE" w:rsidRDefault="006771AE" w:rsidP="006771AE">
      <w:pPr>
        <w:pStyle w:val="ListParagraph"/>
        <w:ind w:left="927"/>
        <w:jc w:val="both"/>
        <w:rPr>
          <w:rFonts w:ascii="Arial" w:hAnsi="Arial" w:cs="Arial"/>
          <w:lang w:eastAsia="en-GB"/>
        </w:rPr>
      </w:pPr>
    </w:p>
    <w:p w14:paraId="172A6E1E" w14:textId="77777777" w:rsidR="0022435D" w:rsidRDefault="008916A1" w:rsidP="008916A1">
      <w:pPr>
        <w:pStyle w:val="ListParagraph"/>
        <w:numPr>
          <w:ilvl w:val="0"/>
          <w:numId w:val="1"/>
        </w:numPr>
        <w:ind w:left="567" w:hanging="567"/>
        <w:jc w:val="both"/>
        <w:rPr>
          <w:rFonts w:ascii="Arial" w:hAnsi="Arial" w:cs="Arial"/>
          <w:noProof/>
          <w:color w:val="000000"/>
          <w:lang w:eastAsia="en-GB"/>
        </w:rPr>
      </w:pPr>
      <w:r>
        <w:rPr>
          <w:rFonts w:ascii="Arial" w:hAnsi="Arial" w:cs="Arial"/>
          <w:lang w:eastAsia="en-GB"/>
        </w:rPr>
        <w:t>G</w:t>
      </w:r>
      <w:r w:rsidR="006771AE" w:rsidRPr="0037464E">
        <w:rPr>
          <w:rFonts w:ascii="Arial" w:hAnsi="Arial" w:cs="Arial"/>
          <w:lang w:eastAsia="en-GB"/>
        </w:rPr>
        <w:t>overnment have confirmed that to allow for the DCU process to be implemented, the retrospective amendment of benefits in the remedy period should be completed by Octob</w:t>
      </w:r>
      <w:r w:rsidR="006771AE">
        <w:rPr>
          <w:rFonts w:ascii="Arial" w:hAnsi="Arial" w:cs="Arial"/>
          <w:lang w:eastAsia="en-GB"/>
        </w:rPr>
        <w:t xml:space="preserve">er 2023.  This confirmation of the timeline is welcomed, </w:t>
      </w:r>
      <w:r w:rsidR="006771AE">
        <w:rPr>
          <w:rFonts w:ascii="Arial" w:hAnsi="Arial" w:cs="Arial"/>
          <w:noProof/>
          <w:color w:val="000000"/>
          <w:lang w:eastAsia="en-GB"/>
        </w:rPr>
        <w:t>nevertheless implementation of the DCU is going to be a significant challenge</w:t>
      </w:r>
    </w:p>
    <w:p w14:paraId="51CF3C28" w14:textId="77777777" w:rsidR="0022435D" w:rsidRPr="0022435D" w:rsidRDefault="0022435D" w:rsidP="0022435D">
      <w:pPr>
        <w:pStyle w:val="ListParagraph"/>
        <w:rPr>
          <w:rFonts w:ascii="Arial" w:hAnsi="Arial" w:cs="Arial"/>
          <w:lang w:eastAsia="en-GB"/>
        </w:rPr>
      </w:pPr>
    </w:p>
    <w:p w14:paraId="32D59DC7" w14:textId="6608B6E3" w:rsidR="00553642" w:rsidRPr="008916A1" w:rsidRDefault="00553642" w:rsidP="008916A1">
      <w:pPr>
        <w:pStyle w:val="ListParagraph"/>
        <w:numPr>
          <w:ilvl w:val="0"/>
          <w:numId w:val="1"/>
        </w:numPr>
        <w:ind w:left="567" w:hanging="567"/>
        <w:jc w:val="both"/>
        <w:rPr>
          <w:rFonts w:ascii="Arial" w:hAnsi="Arial" w:cs="Arial"/>
          <w:noProof/>
          <w:color w:val="000000"/>
          <w:lang w:eastAsia="en-GB"/>
        </w:rPr>
      </w:pPr>
      <w:r w:rsidRPr="008916A1">
        <w:rPr>
          <w:rFonts w:ascii="Arial" w:hAnsi="Arial" w:cs="Arial"/>
          <w:lang w:eastAsia="en-GB"/>
        </w:rPr>
        <w:t xml:space="preserve">The decision to take forward the DCU option is welcomed and this was the preferred choice submitted by both the </w:t>
      </w:r>
      <w:r w:rsidRPr="008916A1">
        <w:rPr>
          <w:rFonts w:ascii="Arial" w:hAnsi="Arial" w:cs="Arial"/>
          <w:noProof/>
          <w:color w:val="000000"/>
          <w:lang w:eastAsia="en-GB"/>
        </w:rPr>
        <w:t xml:space="preserve">response submmitted by </w:t>
      </w:r>
      <w:hyperlink r:id="rId13" w:history="1">
        <w:r w:rsidRPr="008916A1">
          <w:rPr>
            <w:rStyle w:val="Hyperlink"/>
            <w:rFonts w:ascii="Arial" w:hAnsi="Arial" w:cs="Arial"/>
            <w:noProof/>
            <w:lang w:eastAsia="en-GB"/>
          </w:rPr>
          <w:t>LGA on behalf of employers of Firefighters and Teachers</w:t>
        </w:r>
      </w:hyperlink>
      <w:r w:rsidRPr="008916A1">
        <w:rPr>
          <w:rFonts w:ascii="Arial" w:hAnsi="Arial" w:cs="Arial"/>
          <w:noProof/>
          <w:color w:val="000000"/>
          <w:lang w:eastAsia="en-GB"/>
        </w:rPr>
        <w:t xml:space="preserve">, and by the </w:t>
      </w:r>
      <w:hyperlink r:id="rId14" w:history="1">
        <w:r w:rsidRPr="008916A1">
          <w:rPr>
            <w:rStyle w:val="Hyperlink"/>
            <w:rFonts w:ascii="Arial" w:hAnsi="Arial" w:cs="Arial"/>
            <w:noProof/>
            <w:lang w:eastAsia="en-GB"/>
          </w:rPr>
          <w:t>Scheme Advisory Board (England)</w:t>
        </w:r>
      </w:hyperlink>
    </w:p>
    <w:p w14:paraId="0F6E66AF" w14:textId="4812BB33" w:rsidR="00553642" w:rsidRDefault="00553642" w:rsidP="00553642">
      <w:pPr>
        <w:pStyle w:val="ListParagraph"/>
        <w:ind w:left="567"/>
        <w:jc w:val="both"/>
        <w:rPr>
          <w:rFonts w:ascii="Arial" w:hAnsi="Arial" w:cs="Arial"/>
          <w:lang w:eastAsia="en-GB"/>
        </w:rPr>
      </w:pPr>
    </w:p>
    <w:p w14:paraId="19D898B2" w14:textId="559125CB" w:rsidR="0022435D" w:rsidRPr="007673DE" w:rsidRDefault="00D005E3" w:rsidP="0022435D">
      <w:pPr>
        <w:pStyle w:val="ListParagraph"/>
        <w:numPr>
          <w:ilvl w:val="0"/>
          <w:numId w:val="1"/>
        </w:numPr>
        <w:ind w:left="567" w:hanging="567"/>
        <w:jc w:val="both"/>
        <w:rPr>
          <w:rFonts w:ascii="Arial" w:hAnsi="Arial" w:cs="Arial"/>
          <w:lang w:eastAsia="en-GB"/>
        </w:rPr>
      </w:pPr>
      <w:r w:rsidRPr="007673DE">
        <w:rPr>
          <w:rFonts w:ascii="Arial" w:hAnsi="Arial" w:cs="Arial"/>
        </w:rPr>
        <w:t xml:space="preserve">The consultation response </w:t>
      </w:r>
      <w:r w:rsidR="00357809">
        <w:rPr>
          <w:rFonts w:ascii="Arial" w:hAnsi="Arial" w:cs="Arial"/>
        </w:rPr>
        <w:t>only confirms high level policy decisions, there are many more policy decisions needed to fully implement the remedies</w:t>
      </w:r>
      <w:r w:rsidR="001F492E">
        <w:rPr>
          <w:rFonts w:ascii="Arial" w:hAnsi="Arial" w:cs="Arial"/>
        </w:rPr>
        <w:t xml:space="preserve">.  </w:t>
      </w:r>
      <w:r w:rsidRPr="007673DE">
        <w:rPr>
          <w:rFonts w:ascii="Arial" w:hAnsi="Arial" w:cs="Arial"/>
        </w:rPr>
        <w:t xml:space="preserve">The Home Office will consult </w:t>
      </w:r>
      <w:r w:rsidRPr="007673DE">
        <w:rPr>
          <w:rFonts w:ascii="Arial" w:hAnsi="Arial" w:cs="Arial"/>
        </w:rPr>
        <w:lastRenderedPageBreak/>
        <w:t xml:space="preserve">separately on changes needed to the Firefighters’ Pension Scheme regulations to enact the remedy. </w:t>
      </w:r>
    </w:p>
    <w:p w14:paraId="0CFC4FA8" w14:textId="77777777" w:rsidR="00357809" w:rsidRDefault="00357809" w:rsidP="00357809">
      <w:pPr>
        <w:pStyle w:val="ListParagraph"/>
        <w:ind w:left="567"/>
        <w:jc w:val="both"/>
        <w:rPr>
          <w:rFonts w:ascii="Arial" w:hAnsi="Arial" w:cs="Arial"/>
          <w:lang w:eastAsia="en-GB"/>
        </w:rPr>
      </w:pPr>
    </w:p>
    <w:p w14:paraId="1030C1F0" w14:textId="41981B5B" w:rsidR="00D005E3" w:rsidRDefault="00D005E3" w:rsidP="0022435D">
      <w:pPr>
        <w:pStyle w:val="ListParagraph"/>
        <w:numPr>
          <w:ilvl w:val="0"/>
          <w:numId w:val="1"/>
        </w:numPr>
        <w:ind w:left="567" w:hanging="567"/>
        <w:jc w:val="both"/>
        <w:rPr>
          <w:rFonts w:ascii="Arial" w:hAnsi="Arial" w:cs="Arial"/>
          <w:lang w:eastAsia="en-GB"/>
        </w:rPr>
      </w:pPr>
      <w:r w:rsidRPr="007673DE">
        <w:rPr>
          <w:rFonts w:ascii="Arial" w:hAnsi="Arial" w:cs="Arial"/>
        </w:rPr>
        <w:t xml:space="preserve">We are working closely and at pace across the whole of the FPS sector and with government departments to support FRAs through the remedy implementation process. </w:t>
      </w:r>
    </w:p>
    <w:p w14:paraId="53437BBF" w14:textId="77777777" w:rsidR="000B31DA" w:rsidRPr="000B31DA" w:rsidRDefault="000B31DA" w:rsidP="000B31DA">
      <w:pPr>
        <w:pStyle w:val="ListParagraph"/>
        <w:rPr>
          <w:rFonts w:ascii="Arial" w:hAnsi="Arial" w:cs="Arial"/>
          <w:lang w:eastAsia="en-GB"/>
        </w:rPr>
      </w:pPr>
    </w:p>
    <w:p w14:paraId="044452CD" w14:textId="3470838B" w:rsidR="000B31DA" w:rsidRPr="007C737D" w:rsidRDefault="000B31DA" w:rsidP="000B31DA">
      <w:pPr>
        <w:ind w:left="567" w:hanging="567"/>
        <w:jc w:val="both"/>
        <w:rPr>
          <w:rFonts w:ascii="Arial" w:hAnsi="Arial" w:cs="Arial"/>
          <w:b/>
          <w:bCs/>
          <w:iCs/>
          <w:lang w:val="en-US"/>
        </w:rPr>
      </w:pPr>
      <w:r>
        <w:rPr>
          <w:rFonts w:ascii="Arial" w:hAnsi="Arial" w:cs="Arial"/>
          <w:b/>
          <w:bCs/>
          <w:iCs/>
          <w:lang w:val="en-US"/>
        </w:rPr>
        <w:t>Valuation</w:t>
      </w:r>
    </w:p>
    <w:p w14:paraId="66883231" w14:textId="77777777" w:rsidR="005925B2" w:rsidRPr="005925B2" w:rsidRDefault="005925B2" w:rsidP="005925B2">
      <w:pPr>
        <w:pStyle w:val="ListParagraph"/>
        <w:rPr>
          <w:rFonts w:ascii="Arial" w:hAnsi="Arial" w:cs="Arial"/>
          <w:lang w:eastAsia="en-GB"/>
        </w:rPr>
      </w:pPr>
    </w:p>
    <w:p w14:paraId="170EAAD3" w14:textId="0159D052" w:rsidR="00485F7B" w:rsidRDefault="005925B2" w:rsidP="00485F7B">
      <w:pPr>
        <w:pStyle w:val="ListParagraph"/>
        <w:numPr>
          <w:ilvl w:val="0"/>
          <w:numId w:val="1"/>
        </w:numPr>
        <w:ind w:left="567" w:hanging="567"/>
        <w:jc w:val="both"/>
        <w:rPr>
          <w:rFonts w:ascii="Arial" w:hAnsi="Arial" w:cs="Arial"/>
          <w:lang w:eastAsia="en-GB"/>
        </w:rPr>
      </w:pPr>
      <w:r>
        <w:rPr>
          <w:rFonts w:ascii="Arial" w:hAnsi="Arial" w:cs="Arial"/>
          <w:lang w:eastAsia="en-GB"/>
        </w:rPr>
        <w:t xml:space="preserve">At the same time as publishing the response setting out the governments approach to removing discrimination, </w:t>
      </w:r>
      <w:r w:rsidR="00DE1985">
        <w:rPr>
          <w:rFonts w:ascii="Arial" w:hAnsi="Arial" w:cs="Arial"/>
          <w:lang w:eastAsia="en-GB"/>
        </w:rPr>
        <w:t>Government also announced the position on both the paused 2016 cost cap valuation and the 2020 valuation</w:t>
      </w:r>
      <w:r w:rsidR="00485F7B">
        <w:rPr>
          <w:rFonts w:ascii="Arial" w:hAnsi="Arial" w:cs="Arial"/>
          <w:lang w:eastAsia="en-GB"/>
        </w:rPr>
        <w:t xml:space="preserve">, </w:t>
      </w:r>
      <w:r w:rsidR="00485F7B">
        <w:rPr>
          <w:rFonts w:ascii="Arial" w:hAnsi="Arial" w:cs="Arial"/>
        </w:rPr>
        <w:t>in the written ministerial statement [</w:t>
      </w:r>
      <w:hyperlink r:id="rId15" w:history="1">
        <w:r w:rsidR="00485F7B" w:rsidRPr="00A965F7">
          <w:rPr>
            <w:rStyle w:val="Hyperlink"/>
            <w:rFonts w:ascii="Arial" w:hAnsi="Arial" w:cs="Arial"/>
          </w:rPr>
          <w:t>HCWS757</w:t>
        </w:r>
      </w:hyperlink>
      <w:r w:rsidR="00485F7B">
        <w:rPr>
          <w:rFonts w:ascii="Arial" w:hAnsi="Arial" w:cs="Arial"/>
        </w:rPr>
        <w:t xml:space="preserve">]  </w:t>
      </w:r>
    </w:p>
    <w:p w14:paraId="4E91F541" w14:textId="77777777" w:rsidR="00680BA2" w:rsidRPr="00680BA2" w:rsidRDefault="00680BA2" w:rsidP="00680BA2">
      <w:pPr>
        <w:pStyle w:val="ListParagraph"/>
        <w:rPr>
          <w:rFonts w:ascii="Arial" w:hAnsi="Arial" w:cs="Arial"/>
          <w:lang w:eastAsia="en-GB"/>
        </w:rPr>
      </w:pPr>
    </w:p>
    <w:p w14:paraId="6D999761" w14:textId="56836099" w:rsidR="00680BA2" w:rsidRPr="00EB1A84" w:rsidRDefault="00680BA2" w:rsidP="00EB1A84">
      <w:pPr>
        <w:ind w:firstLine="567"/>
        <w:jc w:val="both"/>
        <w:rPr>
          <w:rFonts w:ascii="Arial" w:hAnsi="Arial" w:cs="Arial"/>
          <w:b/>
          <w:bCs/>
          <w:lang w:eastAsia="en-GB"/>
        </w:rPr>
      </w:pPr>
      <w:r w:rsidRPr="00EB1A84">
        <w:rPr>
          <w:rFonts w:ascii="Arial" w:hAnsi="Arial" w:cs="Arial"/>
          <w:b/>
          <w:bCs/>
          <w:lang w:eastAsia="en-GB"/>
        </w:rPr>
        <w:t>2016 valuation</w:t>
      </w:r>
    </w:p>
    <w:p w14:paraId="32E41602" w14:textId="77777777" w:rsidR="00386068" w:rsidRPr="00386068" w:rsidRDefault="00386068" w:rsidP="00386068">
      <w:pPr>
        <w:pStyle w:val="ListParagraph"/>
        <w:rPr>
          <w:rFonts w:ascii="Arial" w:hAnsi="Arial" w:cs="Arial"/>
          <w:lang w:eastAsia="en-GB"/>
        </w:rPr>
      </w:pPr>
    </w:p>
    <w:p w14:paraId="53C13479" w14:textId="69965948" w:rsidR="00514C63" w:rsidRPr="00485F7B" w:rsidRDefault="00386068" w:rsidP="008079C3">
      <w:pPr>
        <w:pStyle w:val="ListParagraph"/>
        <w:numPr>
          <w:ilvl w:val="0"/>
          <w:numId w:val="1"/>
        </w:numPr>
        <w:ind w:left="567" w:hanging="567"/>
        <w:jc w:val="both"/>
        <w:rPr>
          <w:rFonts w:ascii="Arial" w:hAnsi="Arial" w:cs="Arial"/>
        </w:rPr>
      </w:pPr>
      <w:r w:rsidRPr="00485F7B">
        <w:rPr>
          <w:rFonts w:ascii="Arial" w:hAnsi="Arial" w:cs="Arial"/>
          <w:lang w:eastAsia="en-GB"/>
        </w:rPr>
        <w:t>The pause on the 2016 cost cap valuation will now be lifted</w:t>
      </w:r>
      <w:r w:rsidR="00CD4099" w:rsidRPr="00485F7B">
        <w:rPr>
          <w:rFonts w:ascii="Arial" w:hAnsi="Arial" w:cs="Arial"/>
          <w:lang w:eastAsia="en-GB"/>
        </w:rPr>
        <w:t xml:space="preserve">, and </w:t>
      </w:r>
      <w:r w:rsidRPr="00485F7B">
        <w:rPr>
          <w:rFonts w:ascii="Arial" w:hAnsi="Arial" w:cs="Arial"/>
        </w:rPr>
        <w:t xml:space="preserve">the Government Actuary (GA) </w:t>
      </w:r>
      <w:r w:rsidR="00CD4099" w:rsidRPr="00485F7B">
        <w:rPr>
          <w:rFonts w:ascii="Arial" w:hAnsi="Arial" w:cs="Arial"/>
        </w:rPr>
        <w:t>will no</w:t>
      </w:r>
      <w:r w:rsidR="00CB7B13" w:rsidRPr="00485F7B">
        <w:rPr>
          <w:rFonts w:ascii="Arial" w:hAnsi="Arial" w:cs="Arial"/>
        </w:rPr>
        <w:t xml:space="preserve">w proceed with finalising the valuations </w:t>
      </w:r>
      <w:r w:rsidR="00D93243" w:rsidRPr="00485F7B">
        <w:rPr>
          <w:rFonts w:ascii="Arial" w:hAnsi="Arial" w:cs="Arial"/>
        </w:rPr>
        <w:t>based on</w:t>
      </w:r>
      <w:r w:rsidR="00226FC6" w:rsidRPr="00485F7B">
        <w:rPr>
          <w:rFonts w:ascii="Arial" w:hAnsi="Arial" w:cs="Arial"/>
        </w:rPr>
        <w:t xml:space="preserve"> the DCU approach to removing discrimination</w:t>
      </w:r>
      <w:r w:rsidR="003447CB">
        <w:rPr>
          <w:rFonts w:ascii="Arial" w:hAnsi="Arial" w:cs="Arial"/>
        </w:rPr>
        <w:t>.</w:t>
      </w:r>
      <w:r w:rsidR="00A503BC" w:rsidRPr="00485F7B">
        <w:rPr>
          <w:rFonts w:ascii="Arial" w:hAnsi="Arial" w:cs="Arial"/>
        </w:rPr>
        <w:t xml:space="preserve"> </w:t>
      </w:r>
    </w:p>
    <w:p w14:paraId="7F77E4CC" w14:textId="77777777" w:rsidR="0003549B" w:rsidRDefault="0003549B" w:rsidP="0003549B">
      <w:pPr>
        <w:pStyle w:val="ListParagraph"/>
        <w:ind w:left="567"/>
        <w:jc w:val="both"/>
        <w:rPr>
          <w:rFonts w:ascii="Arial" w:hAnsi="Arial" w:cs="Arial"/>
          <w:lang w:eastAsia="en-GB"/>
        </w:rPr>
      </w:pPr>
    </w:p>
    <w:p w14:paraId="76B9D3EE" w14:textId="2CBE2837" w:rsidR="00F521DB" w:rsidRDefault="00CA0B95" w:rsidP="004909E6">
      <w:pPr>
        <w:pStyle w:val="ListParagraph"/>
        <w:numPr>
          <w:ilvl w:val="0"/>
          <w:numId w:val="1"/>
        </w:numPr>
        <w:ind w:left="567" w:hanging="567"/>
        <w:jc w:val="both"/>
        <w:rPr>
          <w:rFonts w:ascii="Arial" w:hAnsi="Arial" w:cs="Arial"/>
        </w:rPr>
      </w:pPr>
      <w:r w:rsidRPr="00F521DB">
        <w:rPr>
          <w:rFonts w:ascii="Arial" w:hAnsi="Arial" w:cs="Arial"/>
        </w:rPr>
        <w:t>The cost cap for the Firefighters Scheme was set as 16.8%</w:t>
      </w:r>
      <w:r w:rsidR="00077377">
        <w:rPr>
          <w:rStyle w:val="FootnoteReference"/>
          <w:rFonts w:ascii="Arial" w:hAnsi="Arial" w:cs="Arial"/>
        </w:rPr>
        <w:footnoteReference w:id="2"/>
      </w:r>
      <w:r w:rsidR="00F46412" w:rsidRPr="00F521DB">
        <w:rPr>
          <w:rFonts w:ascii="Arial" w:hAnsi="Arial" w:cs="Arial"/>
        </w:rPr>
        <w:t xml:space="preserve"> as at 1 April 2015, </w:t>
      </w:r>
      <w:r w:rsidR="00977A74">
        <w:rPr>
          <w:rFonts w:ascii="Arial" w:hAnsi="Arial" w:cs="Arial"/>
        </w:rPr>
        <w:t>t</w:t>
      </w:r>
      <w:r w:rsidR="001F474D" w:rsidRPr="00F521DB">
        <w:rPr>
          <w:rFonts w:ascii="Arial" w:hAnsi="Arial" w:cs="Arial"/>
        </w:rPr>
        <w:t>he provisional result of the 2016 valuation before the pause was affected was a cost cap cost of 11.6%</w:t>
      </w:r>
      <w:r w:rsidR="001F474D">
        <w:rPr>
          <w:rStyle w:val="FootnoteReference"/>
          <w:rFonts w:ascii="Arial" w:hAnsi="Arial" w:cs="Arial"/>
        </w:rPr>
        <w:footnoteReference w:id="3"/>
      </w:r>
      <w:r w:rsidR="001F474D" w:rsidRPr="00F521DB">
        <w:rPr>
          <w:rFonts w:ascii="Arial" w:hAnsi="Arial" w:cs="Arial"/>
        </w:rPr>
        <w:t xml:space="preserve"> which was 5.2% lower than the cost cap set at 1 April 2015. </w:t>
      </w:r>
      <w:r w:rsidR="00DE4437" w:rsidRPr="00F521DB">
        <w:rPr>
          <w:rFonts w:ascii="Arial" w:hAnsi="Arial" w:cs="Arial"/>
        </w:rPr>
        <w:t xml:space="preserve"> </w:t>
      </w:r>
    </w:p>
    <w:p w14:paraId="520442C0" w14:textId="77777777" w:rsidR="00F521DB" w:rsidRPr="00F521DB" w:rsidRDefault="00F521DB" w:rsidP="00F521DB">
      <w:pPr>
        <w:pStyle w:val="ListParagraph"/>
        <w:rPr>
          <w:rFonts w:ascii="Arial" w:hAnsi="Arial" w:cs="Arial"/>
        </w:rPr>
      </w:pPr>
    </w:p>
    <w:p w14:paraId="3F4DDFB6" w14:textId="2DC5B577" w:rsidR="003C3C5C" w:rsidRDefault="00EB6C4D" w:rsidP="004909E6">
      <w:pPr>
        <w:pStyle w:val="ListParagraph"/>
        <w:numPr>
          <w:ilvl w:val="0"/>
          <w:numId w:val="1"/>
        </w:numPr>
        <w:ind w:left="567" w:hanging="567"/>
        <w:jc w:val="both"/>
        <w:rPr>
          <w:rFonts w:ascii="Arial" w:hAnsi="Arial" w:cs="Arial"/>
        </w:rPr>
      </w:pPr>
      <w:r>
        <w:rPr>
          <w:rFonts w:ascii="Arial" w:hAnsi="Arial" w:cs="Arial"/>
        </w:rPr>
        <w:t xml:space="preserve">The current process sets out that any breach to the floor of the cost cap would see scheme improvements in benefits to bring the cost cap back in range, and any ceiling breaches would see </w:t>
      </w:r>
      <w:r w:rsidR="003C3C5C">
        <w:rPr>
          <w:rFonts w:ascii="Arial" w:hAnsi="Arial" w:cs="Arial"/>
        </w:rPr>
        <w:t xml:space="preserve">reductions in scheme benefits.  </w:t>
      </w:r>
      <w:r w:rsidR="001F474D" w:rsidRPr="00F521DB">
        <w:rPr>
          <w:rFonts w:ascii="Arial" w:hAnsi="Arial" w:cs="Arial"/>
        </w:rPr>
        <w:t>F</w:t>
      </w:r>
      <w:r w:rsidR="00F46412" w:rsidRPr="00F521DB">
        <w:rPr>
          <w:rFonts w:ascii="Arial" w:hAnsi="Arial" w:cs="Arial"/>
        </w:rPr>
        <w:t xml:space="preserve">loor breaches refer to </w:t>
      </w:r>
      <w:r w:rsidR="00103AC9" w:rsidRPr="00F521DB">
        <w:rPr>
          <w:rFonts w:ascii="Arial" w:hAnsi="Arial" w:cs="Arial"/>
        </w:rPr>
        <w:t xml:space="preserve">a </w:t>
      </w:r>
      <w:r w:rsidR="004A0954" w:rsidRPr="00F521DB">
        <w:rPr>
          <w:rFonts w:ascii="Arial" w:hAnsi="Arial" w:cs="Arial"/>
        </w:rPr>
        <w:t>change in value</w:t>
      </w:r>
      <w:r w:rsidR="00C82281" w:rsidRPr="00F521DB">
        <w:rPr>
          <w:rFonts w:ascii="Arial" w:hAnsi="Arial" w:cs="Arial"/>
        </w:rPr>
        <w:t xml:space="preserve"> by more than </w:t>
      </w:r>
      <w:r w:rsidR="00103AC9" w:rsidRPr="00F521DB">
        <w:rPr>
          <w:rFonts w:ascii="Arial" w:hAnsi="Arial" w:cs="Arial"/>
        </w:rPr>
        <w:t>2% below this figure</w:t>
      </w:r>
      <w:r w:rsidR="00C82281" w:rsidRPr="00F521DB">
        <w:rPr>
          <w:rFonts w:ascii="Arial" w:hAnsi="Arial" w:cs="Arial"/>
        </w:rPr>
        <w:t xml:space="preserve">, </w:t>
      </w:r>
      <w:r w:rsidR="006B3F65" w:rsidRPr="00F521DB">
        <w:rPr>
          <w:rFonts w:ascii="Arial" w:hAnsi="Arial" w:cs="Arial"/>
        </w:rPr>
        <w:t>i.e.</w:t>
      </w:r>
      <w:r w:rsidR="00103AC9" w:rsidRPr="00F521DB">
        <w:rPr>
          <w:rFonts w:ascii="Arial" w:hAnsi="Arial" w:cs="Arial"/>
        </w:rPr>
        <w:t xml:space="preserve"> less than </w:t>
      </w:r>
      <w:r w:rsidR="006A0190" w:rsidRPr="00F521DB">
        <w:rPr>
          <w:rFonts w:ascii="Arial" w:hAnsi="Arial" w:cs="Arial"/>
        </w:rPr>
        <w:t xml:space="preserve">14.8% and a ceiling breach is a </w:t>
      </w:r>
      <w:r w:rsidR="00191A78" w:rsidRPr="00F521DB">
        <w:rPr>
          <w:rFonts w:ascii="Arial" w:hAnsi="Arial" w:cs="Arial"/>
        </w:rPr>
        <w:t xml:space="preserve">change in value by more than </w:t>
      </w:r>
      <w:r w:rsidR="006A0190" w:rsidRPr="00F521DB">
        <w:rPr>
          <w:rFonts w:ascii="Arial" w:hAnsi="Arial" w:cs="Arial"/>
        </w:rPr>
        <w:t xml:space="preserve">2% above this figure, </w:t>
      </w:r>
      <w:r w:rsidR="006B3F65" w:rsidRPr="00F521DB">
        <w:rPr>
          <w:rFonts w:ascii="Arial" w:hAnsi="Arial" w:cs="Arial"/>
        </w:rPr>
        <w:t>i.e.</w:t>
      </w:r>
      <w:r w:rsidR="00191A78" w:rsidRPr="00F521DB">
        <w:rPr>
          <w:rFonts w:ascii="Arial" w:hAnsi="Arial" w:cs="Arial"/>
        </w:rPr>
        <w:t xml:space="preserve"> </w:t>
      </w:r>
      <w:r w:rsidR="006A0190" w:rsidRPr="00F521DB">
        <w:rPr>
          <w:rFonts w:ascii="Arial" w:hAnsi="Arial" w:cs="Arial"/>
        </w:rPr>
        <w:t xml:space="preserve">more than </w:t>
      </w:r>
      <w:r w:rsidR="002113F9" w:rsidRPr="00F521DB">
        <w:rPr>
          <w:rFonts w:ascii="Arial" w:hAnsi="Arial" w:cs="Arial"/>
        </w:rPr>
        <w:t xml:space="preserve">18.8%. </w:t>
      </w:r>
    </w:p>
    <w:p w14:paraId="298C2DAC" w14:textId="77777777" w:rsidR="003C3C5C" w:rsidRPr="003C3C5C" w:rsidRDefault="003C3C5C" w:rsidP="003C3C5C">
      <w:pPr>
        <w:pStyle w:val="ListParagraph"/>
        <w:rPr>
          <w:rFonts w:ascii="Arial" w:hAnsi="Arial" w:cs="Arial"/>
        </w:rPr>
      </w:pPr>
    </w:p>
    <w:p w14:paraId="6B4617F7" w14:textId="73E626B9" w:rsidR="00F521DB" w:rsidRPr="003C3C5C" w:rsidRDefault="00F521DB" w:rsidP="006E37C8">
      <w:pPr>
        <w:pStyle w:val="ListParagraph"/>
        <w:numPr>
          <w:ilvl w:val="0"/>
          <w:numId w:val="1"/>
        </w:numPr>
        <w:ind w:left="567" w:hanging="567"/>
        <w:jc w:val="both"/>
        <w:rPr>
          <w:rFonts w:ascii="Arial" w:hAnsi="Arial" w:cs="Arial"/>
        </w:rPr>
      </w:pPr>
      <w:r w:rsidRPr="003C3C5C">
        <w:rPr>
          <w:rFonts w:ascii="Arial" w:hAnsi="Arial" w:cs="Arial"/>
        </w:rPr>
        <w:t xml:space="preserve">Employers are continuing to pay increased employer contributions </w:t>
      </w:r>
      <w:r w:rsidR="006B3F65" w:rsidRPr="003C3C5C">
        <w:rPr>
          <w:rFonts w:ascii="Arial" w:hAnsi="Arial" w:cs="Arial"/>
        </w:rPr>
        <w:t>based on</w:t>
      </w:r>
      <w:r w:rsidRPr="003C3C5C">
        <w:rPr>
          <w:rFonts w:ascii="Arial" w:hAnsi="Arial" w:cs="Arial"/>
        </w:rPr>
        <w:t xml:space="preserve"> improving scheme benefits </w:t>
      </w:r>
      <w:r w:rsidR="00981904" w:rsidRPr="003C3C5C">
        <w:rPr>
          <w:rFonts w:ascii="Arial" w:hAnsi="Arial" w:cs="Arial"/>
        </w:rPr>
        <w:t>because of</w:t>
      </w:r>
      <w:r w:rsidRPr="003C3C5C">
        <w:rPr>
          <w:rFonts w:ascii="Arial" w:hAnsi="Arial" w:cs="Arial"/>
        </w:rPr>
        <w:t xml:space="preserve"> the floor breach</w:t>
      </w:r>
      <w:r w:rsidR="003C3C5C" w:rsidRPr="003C3C5C">
        <w:rPr>
          <w:rFonts w:ascii="Arial" w:hAnsi="Arial" w:cs="Arial"/>
        </w:rPr>
        <w:t xml:space="preserve"> in the paused 2016 cost cap valuation.</w:t>
      </w:r>
    </w:p>
    <w:p w14:paraId="03ABA784" w14:textId="77777777" w:rsidR="00F521DB" w:rsidRPr="00F521DB" w:rsidRDefault="00F521DB" w:rsidP="003C3C5C">
      <w:pPr>
        <w:pStyle w:val="ListParagraph"/>
        <w:ind w:left="567"/>
        <w:jc w:val="both"/>
        <w:rPr>
          <w:rFonts w:ascii="Arial" w:hAnsi="Arial" w:cs="Arial"/>
        </w:rPr>
      </w:pPr>
    </w:p>
    <w:p w14:paraId="00F1B0B8" w14:textId="093F657F" w:rsidR="00DE4437" w:rsidRDefault="00D93243" w:rsidP="00DE4437">
      <w:pPr>
        <w:pStyle w:val="ListParagraph"/>
        <w:numPr>
          <w:ilvl w:val="0"/>
          <w:numId w:val="1"/>
        </w:numPr>
        <w:ind w:left="567" w:hanging="567"/>
        <w:jc w:val="both"/>
        <w:rPr>
          <w:rFonts w:ascii="Arial" w:hAnsi="Arial" w:cs="Arial"/>
          <w:lang w:eastAsia="en-GB"/>
        </w:rPr>
      </w:pPr>
      <w:r>
        <w:rPr>
          <w:rFonts w:ascii="Arial" w:hAnsi="Arial" w:cs="Arial"/>
        </w:rPr>
        <w:t xml:space="preserve">The Government </w:t>
      </w:r>
      <w:r w:rsidR="00085DC1">
        <w:rPr>
          <w:rFonts w:ascii="Arial" w:hAnsi="Arial" w:cs="Arial"/>
        </w:rPr>
        <w:t xml:space="preserve">confirmed that early estimates of the cost cap </w:t>
      </w:r>
      <w:r w:rsidR="00BB210A">
        <w:rPr>
          <w:rFonts w:ascii="Arial" w:hAnsi="Arial" w:cs="Arial"/>
        </w:rPr>
        <w:t>taking into account</w:t>
      </w:r>
      <w:r w:rsidR="009A0077">
        <w:rPr>
          <w:rFonts w:ascii="Arial" w:hAnsi="Arial" w:cs="Arial"/>
        </w:rPr>
        <w:t xml:space="preserve"> </w:t>
      </w:r>
      <w:r w:rsidR="009A0077" w:rsidRPr="00840D2A">
        <w:rPr>
          <w:rFonts w:ascii="Arial" w:hAnsi="Arial" w:cs="Arial"/>
          <w:lang w:eastAsia="en-GB"/>
        </w:rPr>
        <w:t>the increased value of schemes to members as a result of the McCloud remedy</w:t>
      </w:r>
      <w:r w:rsidR="009A0077">
        <w:rPr>
          <w:rFonts w:ascii="Arial" w:hAnsi="Arial" w:cs="Arial"/>
        </w:rPr>
        <w:t xml:space="preserve"> </w:t>
      </w:r>
      <w:r w:rsidR="00085DC1">
        <w:rPr>
          <w:rFonts w:ascii="Arial" w:hAnsi="Arial" w:cs="Arial"/>
        </w:rPr>
        <w:t xml:space="preserve">mean that </w:t>
      </w:r>
      <w:r w:rsidR="001F474D">
        <w:rPr>
          <w:rFonts w:ascii="Arial" w:hAnsi="Arial" w:cs="Arial"/>
        </w:rPr>
        <w:t xml:space="preserve">on review </w:t>
      </w:r>
      <w:r w:rsidR="00085DC1">
        <w:rPr>
          <w:rFonts w:ascii="Arial" w:hAnsi="Arial" w:cs="Arial"/>
        </w:rPr>
        <w:t xml:space="preserve">some schemes would </w:t>
      </w:r>
      <w:r w:rsidR="001F474D">
        <w:rPr>
          <w:rFonts w:ascii="Arial" w:hAnsi="Arial" w:cs="Arial"/>
        </w:rPr>
        <w:t xml:space="preserve">now </w:t>
      </w:r>
      <w:r w:rsidR="00085DC1">
        <w:rPr>
          <w:rFonts w:ascii="Arial" w:hAnsi="Arial" w:cs="Arial"/>
        </w:rPr>
        <w:t>breach the ceiling</w:t>
      </w:r>
      <w:r w:rsidR="00DE4437">
        <w:rPr>
          <w:rFonts w:ascii="Arial" w:hAnsi="Arial" w:cs="Arial"/>
        </w:rPr>
        <w:t>, which for the Firefighters scheme would mean the cost cap once calculated would need to be above 18.8%.</w:t>
      </w:r>
    </w:p>
    <w:p w14:paraId="39584835" w14:textId="77777777" w:rsidR="00DE4437" w:rsidRPr="00DE4437" w:rsidRDefault="00DE4437" w:rsidP="00DE4437">
      <w:pPr>
        <w:rPr>
          <w:rFonts w:ascii="Arial" w:hAnsi="Arial" w:cs="Arial"/>
          <w:lang w:eastAsia="en-GB"/>
        </w:rPr>
      </w:pPr>
    </w:p>
    <w:p w14:paraId="56A0A5D5" w14:textId="1582A332" w:rsidR="00386068" w:rsidRPr="00840D2A" w:rsidRDefault="00DE4437" w:rsidP="00386068">
      <w:pPr>
        <w:pStyle w:val="ListParagraph"/>
        <w:numPr>
          <w:ilvl w:val="0"/>
          <w:numId w:val="1"/>
        </w:numPr>
        <w:ind w:left="567" w:hanging="567"/>
        <w:jc w:val="both"/>
        <w:rPr>
          <w:rFonts w:ascii="Arial" w:hAnsi="Arial" w:cs="Arial"/>
          <w:lang w:eastAsia="en-GB"/>
        </w:rPr>
      </w:pPr>
      <w:r>
        <w:rPr>
          <w:rFonts w:ascii="Arial" w:hAnsi="Arial" w:cs="Arial"/>
          <w:lang w:eastAsia="en-GB"/>
        </w:rPr>
        <w:t>I</w:t>
      </w:r>
      <w:r w:rsidR="00386068" w:rsidRPr="00840D2A">
        <w:rPr>
          <w:rFonts w:ascii="Arial" w:hAnsi="Arial" w:cs="Arial"/>
          <w:lang w:eastAsia="en-GB"/>
        </w:rPr>
        <w:t xml:space="preserve">f normal statutory procedure were followed, any ceiling breaches would lead to a reduction in member benefits </w:t>
      </w:r>
      <w:r w:rsidR="00936F0D" w:rsidRPr="00840D2A">
        <w:rPr>
          <w:rFonts w:ascii="Arial" w:hAnsi="Arial" w:cs="Arial"/>
          <w:lang w:eastAsia="en-GB"/>
        </w:rPr>
        <w:t>to</w:t>
      </w:r>
      <w:r w:rsidR="00386068" w:rsidRPr="00840D2A">
        <w:rPr>
          <w:rFonts w:ascii="Arial" w:hAnsi="Arial" w:cs="Arial"/>
          <w:lang w:eastAsia="en-GB"/>
        </w:rPr>
        <w:t xml:space="preserve"> bring costs back to target</w:t>
      </w:r>
      <w:r w:rsidR="00C11B72">
        <w:rPr>
          <w:rFonts w:ascii="Arial" w:hAnsi="Arial" w:cs="Arial"/>
          <w:lang w:eastAsia="en-GB"/>
        </w:rPr>
        <w:t>.  However</w:t>
      </w:r>
      <w:r w:rsidR="00F70479">
        <w:rPr>
          <w:rFonts w:ascii="Arial" w:hAnsi="Arial" w:cs="Arial"/>
          <w:lang w:eastAsia="en-GB"/>
        </w:rPr>
        <w:t>,</w:t>
      </w:r>
      <w:r w:rsidR="00C11B72">
        <w:rPr>
          <w:rFonts w:ascii="Arial" w:hAnsi="Arial" w:cs="Arial"/>
          <w:lang w:eastAsia="en-GB"/>
        </w:rPr>
        <w:t xml:space="preserve"> the Government have announced that </w:t>
      </w:r>
      <w:r w:rsidR="00386068" w:rsidRPr="00840D2A">
        <w:rPr>
          <w:rFonts w:ascii="Arial" w:hAnsi="Arial" w:cs="Arial"/>
          <w:lang w:eastAsia="en-GB"/>
        </w:rPr>
        <w:t xml:space="preserve">it would be inappropriate to reduce member benefits </w:t>
      </w:r>
      <w:r w:rsidR="00C11B72">
        <w:rPr>
          <w:rFonts w:ascii="Arial" w:hAnsi="Arial" w:cs="Arial"/>
          <w:lang w:eastAsia="en-GB"/>
        </w:rPr>
        <w:t>and the effect of any ceiling breaches on the 2016 valuation would be waived.</w:t>
      </w:r>
    </w:p>
    <w:p w14:paraId="6C06C247" w14:textId="77777777" w:rsidR="00386068" w:rsidRPr="00840D2A" w:rsidRDefault="00386068" w:rsidP="00386068">
      <w:pPr>
        <w:pStyle w:val="ListParagraph"/>
        <w:rPr>
          <w:rFonts w:ascii="Arial" w:hAnsi="Arial" w:cs="Arial"/>
          <w:lang w:eastAsia="en-GB"/>
        </w:rPr>
      </w:pPr>
    </w:p>
    <w:p w14:paraId="2534AF78" w14:textId="77777777" w:rsidR="00E37A7D" w:rsidRDefault="00E37A7D">
      <w:pPr>
        <w:rPr>
          <w:rFonts w:ascii="Arial" w:hAnsi="Arial" w:cs="Arial"/>
          <w:b/>
          <w:bCs/>
          <w:lang w:eastAsia="en-GB"/>
        </w:rPr>
      </w:pPr>
      <w:r>
        <w:rPr>
          <w:rFonts w:ascii="Arial" w:hAnsi="Arial" w:cs="Arial"/>
          <w:b/>
          <w:bCs/>
          <w:lang w:eastAsia="en-GB"/>
        </w:rPr>
        <w:br w:type="page"/>
      </w:r>
    </w:p>
    <w:p w14:paraId="43B848FE" w14:textId="65A92671" w:rsidR="00AE7D28" w:rsidRPr="00EB1A84" w:rsidRDefault="009E1EFF" w:rsidP="00EB1A84">
      <w:pPr>
        <w:ind w:firstLine="567"/>
        <w:jc w:val="both"/>
        <w:rPr>
          <w:rFonts w:ascii="Arial" w:hAnsi="Arial" w:cs="Arial"/>
          <w:b/>
          <w:bCs/>
          <w:lang w:eastAsia="en-GB"/>
        </w:rPr>
      </w:pPr>
      <w:r w:rsidRPr="00EB1A84">
        <w:rPr>
          <w:rFonts w:ascii="Arial" w:hAnsi="Arial" w:cs="Arial"/>
          <w:b/>
          <w:bCs/>
          <w:lang w:eastAsia="en-GB"/>
        </w:rPr>
        <w:lastRenderedPageBreak/>
        <w:t>2020 valuation</w:t>
      </w:r>
    </w:p>
    <w:p w14:paraId="0FD5193C" w14:textId="77777777" w:rsidR="00AE7D28" w:rsidRPr="00AE7D28" w:rsidRDefault="00AE7D28" w:rsidP="00AE7D28">
      <w:pPr>
        <w:pStyle w:val="ListParagraph"/>
        <w:rPr>
          <w:rFonts w:ascii="Arial" w:hAnsi="Arial" w:cs="Arial"/>
          <w:lang w:eastAsia="en-GB"/>
        </w:rPr>
      </w:pPr>
    </w:p>
    <w:p w14:paraId="7C288D97" w14:textId="77777777" w:rsidR="00E37A7D" w:rsidRDefault="009E1EFF" w:rsidP="00E37A7D">
      <w:pPr>
        <w:pStyle w:val="ListParagraph"/>
        <w:numPr>
          <w:ilvl w:val="0"/>
          <w:numId w:val="1"/>
        </w:numPr>
        <w:ind w:left="567" w:hanging="567"/>
        <w:jc w:val="both"/>
        <w:rPr>
          <w:rFonts w:ascii="Arial" w:hAnsi="Arial" w:cs="Arial"/>
          <w:lang w:eastAsia="en-GB"/>
        </w:rPr>
      </w:pPr>
      <w:r>
        <w:rPr>
          <w:rFonts w:ascii="Arial" w:hAnsi="Arial" w:cs="Arial"/>
          <w:lang w:eastAsia="en-GB"/>
        </w:rPr>
        <w:t>In July 2020 Government announced</w:t>
      </w:r>
      <w:r w:rsidR="000E7531">
        <w:rPr>
          <w:rStyle w:val="FootnoteReference"/>
          <w:rFonts w:ascii="Arial" w:hAnsi="Arial" w:cs="Arial"/>
          <w:lang w:eastAsia="en-GB"/>
        </w:rPr>
        <w:footnoteReference w:id="4"/>
      </w:r>
      <w:r>
        <w:rPr>
          <w:rFonts w:ascii="Arial" w:hAnsi="Arial" w:cs="Arial"/>
          <w:lang w:eastAsia="en-GB"/>
        </w:rPr>
        <w:t xml:space="preserve"> a review to the mechanism</w:t>
      </w:r>
      <w:r w:rsidR="000E7531">
        <w:rPr>
          <w:rFonts w:ascii="Arial" w:hAnsi="Arial" w:cs="Arial"/>
          <w:lang w:eastAsia="en-GB"/>
        </w:rPr>
        <w:t xml:space="preserve"> to control the cost of public service pensions</w:t>
      </w:r>
      <w:r w:rsidR="00425375">
        <w:rPr>
          <w:rFonts w:ascii="Arial" w:hAnsi="Arial" w:cs="Arial"/>
          <w:lang w:eastAsia="en-GB"/>
        </w:rPr>
        <w:t xml:space="preserve"> for future valuations, while this review will not affect the process of the 2016 cost cap valuation which will continue on the current </w:t>
      </w:r>
      <w:r w:rsidR="00B40C80">
        <w:rPr>
          <w:rFonts w:ascii="Arial" w:hAnsi="Arial" w:cs="Arial"/>
          <w:lang w:eastAsia="en-GB"/>
        </w:rPr>
        <w:t>mechanism, the 2020 valuation will be subject to any recommendations as a result of this review.</w:t>
      </w:r>
    </w:p>
    <w:p w14:paraId="5E4F54C8" w14:textId="77777777" w:rsidR="00E37A7D" w:rsidRDefault="00E37A7D" w:rsidP="00E37A7D">
      <w:pPr>
        <w:pStyle w:val="ListParagraph"/>
        <w:ind w:left="567"/>
        <w:jc w:val="both"/>
        <w:rPr>
          <w:rFonts w:ascii="Arial" w:hAnsi="Arial" w:cs="Arial"/>
          <w:lang w:eastAsia="en-GB"/>
        </w:rPr>
      </w:pPr>
    </w:p>
    <w:p w14:paraId="08F997B5" w14:textId="77777777" w:rsidR="00E37A7D" w:rsidRDefault="00B40C80" w:rsidP="00E37A7D">
      <w:pPr>
        <w:pStyle w:val="ListParagraph"/>
        <w:numPr>
          <w:ilvl w:val="0"/>
          <w:numId w:val="1"/>
        </w:numPr>
        <w:ind w:left="567" w:hanging="567"/>
        <w:jc w:val="both"/>
        <w:rPr>
          <w:rFonts w:ascii="Arial" w:hAnsi="Arial" w:cs="Arial"/>
          <w:lang w:eastAsia="en-GB"/>
        </w:rPr>
      </w:pPr>
      <w:r w:rsidRPr="00E37A7D">
        <w:rPr>
          <w:rFonts w:ascii="Arial" w:hAnsi="Arial" w:cs="Arial"/>
          <w:lang w:eastAsia="en-GB"/>
        </w:rPr>
        <w:t xml:space="preserve">The Government announced in </w:t>
      </w:r>
      <w:r w:rsidRPr="00E37A7D">
        <w:rPr>
          <w:rFonts w:ascii="Arial" w:hAnsi="Arial" w:cs="Arial"/>
        </w:rPr>
        <w:t>[</w:t>
      </w:r>
      <w:hyperlink r:id="rId16" w:history="1">
        <w:r w:rsidRPr="00E37A7D">
          <w:rPr>
            <w:rStyle w:val="Hyperlink"/>
            <w:rFonts w:ascii="Arial" w:hAnsi="Arial" w:cs="Arial"/>
          </w:rPr>
          <w:t>HCWS757</w:t>
        </w:r>
      </w:hyperlink>
      <w:r w:rsidR="0001037C" w:rsidRPr="00E37A7D">
        <w:rPr>
          <w:rFonts w:ascii="Arial" w:hAnsi="Arial" w:cs="Arial"/>
        </w:rPr>
        <w:t>]</w:t>
      </w:r>
      <w:r w:rsidRPr="00E37A7D">
        <w:rPr>
          <w:rFonts w:ascii="Arial" w:hAnsi="Arial" w:cs="Arial"/>
        </w:rPr>
        <w:t xml:space="preserve"> that </w:t>
      </w:r>
      <w:r w:rsidR="00FF169C" w:rsidRPr="00E37A7D">
        <w:rPr>
          <w:rFonts w:ascii="Arial" w:hAnsi="Arial" w:cs="Arial"/>
        </w:rPr>
        <w:t>d</w:t>
      </w:r>
      <w:r w:rsidR="00FF169C" w:rsidRPr="00E37A7D">
        <w:rPr>
          <w:rFonts w:ascii="Arial" w:hAnsi="Arial" w:cs="Arial"/>
          <w:lang w:eastAsia="en-GB"/>
        </w:rPr>
        <w:t>ue to interactions with wider pension policies, in particular the implementation of the McCloud remedy reforms, completion of the 2016 valuation process and the review of the cost control mechanism</w:t>
      </w:r>
      <w:r w:rsidR="0001037C" w:rsidRPr="00E37A7D">
        <w:rPr>
          <w:rFonts w:ascii="Arial" w:hAnsi="Arial" w:cs="Arial"/>
          <w:lang w:eastAsia="en-GB"/>
        </w:rPr>
        <w:t xml:space="preserve">, that any </w:t>
      </w:r>
      <w:r w:rsidR="00FF169C" w:rsidRPr="00E37A7D">
        <w:rPr>
          <w:rFonts w:ascii="Arial" w:hAnsi="Arial" w:cs="Arial"/>
          <w:lang w:eastAsia="en-GB"/>
        </w:rPr>
        <w:t xml:space="preserve">changes to employer contribution rates resulting from the 2020 valuations will therefore be delayed from April 2023 to April 2024. </w:t>
      </w:r>
    </w:p>
    <w:p w14:paraId="6A3D9DBE" w14:textId="77777777" w:rsidR="00E37A7D" w:rsidRPr="00E37A7D" w:rsidRDefault="00E37A7D" w:rsidP="00E37A7D">
      <w:pPr>
        <w:pStyle w:val="ListParagraph"/>
        <w:rPr>
          <w:rFonts w:ascii="Arial" w:hAnsi="Arial" w:cs="Arial"/>
          <w:lang w:eastAsia="en-GB"/>
        </w:rPr>
      </w:pPr>
    </w:p>
    <w:p w14:paraId="328076EE" w14:textId="5A8705E2" w:rsidR="0001037C" w:rsidRPr="00E37A7D" w:rsidRDefault="007354AF" w:rsidP="00E37A7D">
      <w:pPr>
        <w:pStyle w:val="ListParagraph"/>
        <w:numPr>
          <w:ilvl w:val="0"/>
          <w:numId w:val="1"/>
        </w:numPr>
        <w:ind w:left="567" w:hanging="567"/>
        <w:jc w:val="both"/>
        <w:rPr>
          <w:rFonts w:ascii="Arial" w:hAnsi="Arial" w:cs="Arial"/>
          <w:lang w:eastAsia="en-GB"/>
        </w:rPr>
      </w:pPr>
      <w:r w:rsidRPr="00E37A7D">
        <w:rPr>
          <w:rFonts w:ascii="Arial" w:hAnsi="Arial" w:cs="Arial"/>
          <w:lang w:eastAsia="en-GB"/>
        </w:rPr>
        <w:t xml:space="preserve">That has the effect that employer contributions will remain at the same rate as set in the 2016 valuation until 2024.  Further updates on any changes to that position will be made </w:t>
      </w:r>
      <w:r w:rsidR="00D54C6B" w:rsidRPr="00E37A7D">
        <w:rPr>
          <w:rFonts w:ascii="Arial" w:hAnsi="Arial" w:cs="Arial"/>
          <w:lang w:eastAsia="en-GB"/>
        </w:rPr>
        <w:t>when information becomes available.</w:t>
      </w:r>
    </w:p>
    <w:p w14:paraId="626F5365" w14:textId="77777777" w:rsidR="00D005E3" w:rsidRPr="007673DE" w:rsidRDefault="00D005E3" w:rsidP="00F27C41">
      <w:pPr>
        <w:pStyle w:val="ListParagraph"/>
        <w:ind w:left="567"/>
        <w:jc w:val="both"/>
        <w:rPr>
          <w:rFonts w:ascii="Arial" w:hAnsi="Arial" w:cs="Arial"/>
          <w:lang w:eastAsia="en-GB"/>
        </w:rPr>
      </w:pPr>
    </w:p>
    <w:p w14:paraId="57E364EF" w14:textId="3E817CCA" w:rsidR="00A80470" w:rsidRPr="007C737D" w:rsidRDefault="00A80470" w:rsidP="00A80470">
      <w:pPr>
        <w:jc w:val="both"/>
        <w:rPr>
          <w:rFonts w:ascii="Arial" w:hAnsi="Arial" w:cs="Arial"/>
          <w:b/>
          <w:bCs/>
          <w:iCs/>
          <w:lang w:val="en-US"/>
        </w:rPr>
      </w:pPr>
      <w:r w:rsidRPr="007C737D">
        <w:rPr>
          <w:rFonts w:ascii="Arial" w:hAnsi="Arial" w:cs="Arial"/>
          <w:b/>
          <w:bCs/>
          <w:iCs/>
          <w:lang w:val="en-US"/>
        </w:rPr>
        <w:t>Immediate Detriment Guidance</w:t>
      </w:r>
    </w:p>
    <w:p w14:paraId="49A417EA" w14:textId="77777777" w:rsidR="00A80470" w:rsidRPr="00F21C5F" w:rsidRDefault="00A80470" w:rsidP="00A80470">
      <w:pPr>
        <w:pStyle w:val="ListParagraph"/>
        <w:ind w:left="567"/>
        <w:jc w:val="both"/>
        <w:rPr>
          <w:rFonts w:ascii="Arial" w:hAnsi="Arial" w:cs="Arial"/>
          <w:color w:val="000000" w:themeColor="text1"/>
        </w:rPr>
      </w:pPr>
    </w:p>
    <w:p w14:paraId="6DE0CDB3" w14:textId="2A187B8E" w:rsidR="00B60F18" w:rsidRPr="00B60F18" w:rsidRDefault="00B52E81" w:rsidP="00B60F18">
      <w:pPr>
        <w:pStyle w:val="ListParagraph"/>
        <w:numPr>
          <w:ilvl w:val="0"/>
          <w:numId w:val="1"/>
        </w:numPr>
        <w:ind w:left="567" w:hanging="567"/>
        <w:jc w:val="both"/>
        <w:rPr>
          <w:rFonts w:ascii="Arial" w:hAnsi="Arial" w:cs="Arial"/>
        </w:rPr>
      </w:pPr>
      <w:r w:rsidRPr="00B60F18">
        <w:rPr>
          <w:rFonts w:ascii="Arial" w:hAnsi="Arial" w:cs="Arial"/>
          <w:color w:val="000000" w:themeColor="text1"/>
        </w:rPr>
        <w:t>Following the decision of the EAT on the FRAs schedule 22 appeal</w:t>
      </w:r>
      <w:r w:rsidR="00D6441C">
        <w:rPr>
          <w:rFonts w:ascii="Arial" w:hAnsi="Arial" w:cs="Arial"/>
          <w:color w:val="000000" w:themeColor="text1"/>
        </w:rPr>
        <w:t xml:space="preserve"> as discussed in paragraph 54 below</w:t>
      </w:r>
      <w:r w:rsidR="004F5283">
        <w:rPr>
          <w:rFonts w:ascii="Arial" w:hAnsi="Arial" w:cs="Arial"/>
          <w:color w:val="000000" w:themeColor="text1"/>
        </w:rPr>
        <w:t>,</w:t>
      </w:r>
      <w:r w:rsidRPr="00B60F18">
        <w:rPr>
          <w:rFonts w:ascii="Arial" w:hAnsi="Arial" w:cs="Arial"/>
          <w:color w:val="000000" w:themeColor="text1"/>
        </w:rPr>
        <w:t xml:space="preserve"> FRAs will</w:t>
      </w:r>
      <w:r w:rsidR="002C3480" w:rsidRPr="00B60F18">
        <w:rPr>
          <w:rFonts w:ascii="Arial" w:hAnsi="Arial" w:cs="Arial"/>
          <w:color w:val="000000" w:themeColor="text1"/>
        </w:rPr>
        <w:t xml:space="preserve"> now want to consider their decision with regards to payments under the </w:t>
      </w:r>
      <w:hyperlink r:id="rId17" w:history="1">
        <w:r w:rsidR="002C3480" w:rsidRPr="003576B7">
          <w:rPr>
            <w:rStyle w:val="Hyperlink"/>
            <w:rFonts w:ascii="Arial" w:hAnsi="Arial" w:cs="Arial"/>
          </w:rPr>
          <w:t>immediate detriment guidance</w:t>
        </w:r>
      </w:hyperlink>
      <w:r w:rsidR="00B60F18" w:rsidRPr="00B60F18">
        <w:rPr>
          <w:rFonts w:ascii="Arial" w:hAnsi="Arial" w:cs="Arial"/>
          <w:color w:val="000000" w:themeColor="text1"/>
        </w:rPr>
        <w:t xml:space="preserve">, which was issued </w:t>
      </w:r>
      <w:r w:rsidR="006702A5">
        <w:rPr>
          <w:rFonts w:ascii="Arial" w:hAnsi="Arial" w:cs="Arial"/>
          <w:color w:val="000000" w:themeColor="text1"/>
        </w:rPr>
        <w:t xml:space="preserve">from Home Office </w:t>
      </w:r>
      <w:r w:rsidR="00B60F18" w:rsidRPr="00B60F18">
        <w:rPr>
          <w:rFonts w:ascii="Arial" w:hAnsi="Arial" w:cs="Arial"/>
        </w:rPr>
        <w:t xml:space="preserve">at the request of the Fire Brigades Union </w:t>
      </w:r>
      <w:r w:rsidR="00B60F18" w:rsidRPr="00B60F18">
        <w:rPr>
          <w:rFonts w:ascii="Arial" w:hAnsi="Arial" w:cs="Arial"/>
          <w:color w:val="000000" w:themeColor="text1"/>
        </w:rPr>
        <w:t xml:space="preserve">directly to </w:t>
      </w:r>
      <w:r w:rsidR="00B60F18" w:rsidRPr="00B60F18">
        <w:rPr>
          <w:rFonts w:ascii="Arial" w:hAnsi="Arial" w:cs="Arial"/>
        </w:rPr>
        <w:t xml:space="preserve">Fire and Rescue </w:t>
      </w:r>
      <w:r w:rsidR="008A2049">
        <w:rPr>
          <w:rFonts w:ascii="Arial" w:hAnsi="Arial" w:cs="Arial"/>
        </w:rPr>
        <w:t>Services</w:t>
      </w:r>
      <w:r w:rsidR="00B60F18" w:rsidRPr="00B60F18">
        <w:rPr>
          <w:rFonts w:ascii="Arial" w:hAnsi="Arial" w:cs="Arial"/>
        </w:rPr>
        <w:t xml:space="preserve"> (FR</w:t>
      </w:r>
      <w:r w:rsidR="008A2049">
        <w:rPr>
          <w:rFonts w:ascii="Arial" w:hAnsi="Arial" w:cs="Arial"/>
        </w:rPr>
        <w:t>S</w:t>
      </w:r>
      <w:r w:rsidR="00B60F18" w:rsidRPr="00B60F18">
        <w:rPr>
          <w:rFonts w:ascii="Arial" w:hAnsi="Arial" w:cs="Arial"/>
        </w:rPr>
        <w:t xml:space="preserve">s) via the finance leads </w:t>
      </w:r>
      <w:r w:rsidR="000D46EF">
        <w:rPr>
          <w:rFonts w:ascii="Arial" w:hAnsi="Arial" w:cs="Arial"/>
        </w:rPr>
        <w:t>o</w:t>
      </w:r>
      <w:r w:rsidR="00B60F18" w:rsidRPr="00B60F18">
        <w:rPr>
          <w:rFonts w:ascii="Arial" w:hAnsi="Arial" w:cs="Arial"/>
        </w:rPr>
        <w:t>n 21 August 2020</w:t>
      </w:r>
      <w:r w:rsidR="006702A5">
        <w:rPr>
          <w:rFonts w:ascii="Arial" w:hAnsi="Arial" w:cs="Arial"/>
        </w:rPr>
        <w:t>.</w:t>
      </w:r>
      <w:r w:rsidR="00B60F18" w:rsidRPr="00B60F18">
        <w:rPr>
          <w:rFonts w:ascii="Arial" w:hAnsi="Arial" w:cs="Arial"/>
        </w:rPr>
        <w:t xml:space="preserve"> </w:t>
      </w:r>
    </w:p>
    <w:p w14:paraId="018CC9E7" w14:textId="77777777" w:rsidR="00A80470" w:rsidRPr="00F21C5F" w:rsidRDefault="00A80470" w:rsidP="00A80470">
      <w:pPr>
        <w:pStyle w:val="ListParagraph"/>
        <w:rPr>
          <w:rFonts w:ascii="Arial" w:hAnsi="Arial" w:cs="Arial"/>
        </w:rPr>
      </w:pPr>
    </w:p>
    <w:p w14:paraId="52164172" w14:textId="79B5B084" w:rsidR="00C13E3A" w:rsidRPr="00C13E3A" w:rsidRDefault="00A80470" w:rsidP="000312D9">
      <w:pPr>
        <w:pStyle w:val="ListParagraph"/>
        <w:numPr>
          <w:ilvl w:val="0"/>
          <w:numId w:val="1"/>
        </w:numPr>
        <w:ind w:left="567" w:hanging="567"/>
        <w:jc w:val="both"/>
        <w:rPr>
          <w:rFonts w:ascii="Arial" w:hAnsi="Arial" w:cs="Arial"/>
          <w:color w:val="000000" w:themeColor="text1"/>
        </w:rPr>
      </w:pPr>
      <w:r w:rsidRPr="00443CA8">
        <w:rPr>
          <w:rFonts w:ascii="Arial" w:hAnsi="Arial" w:cs="Arial"/>
        </w:rPr>
        <w:t xml:space="preserve">The </w:t>
      </w:r>
      <w:r w:rsidR="006702A5" w:rsidRPr="00443CA8">
        <w:rPr>
          <w:rFonts w:ascii="Arial" w:hAnsi="Arial" w:cs="Arial"/>
        </w:rPr>
        <w:t xml:space="preserve">six page </w:t>
      </w:r>
      <w:r w:rsidRPr="00443CA8">
        <w:rPr>
          <w:rFonts w:ascii="Arial" w:hAnsi="Arial" w:cs="Arial"/>
        </w:rPr>
        <w:t xml:space="preserve">note </w:t>
      </w:r>
      <w:r w:rsidR="006702A5" w:rsidRPr="00443CA8">
        <w:rPr>
          <w:rFonts w:ascii="Arial" w:hAnsi="Arial" w:cs="Arial"/>
        </w:rPr>
        <w:t xml:space="preserve">from Home Office is labelled as </w:t>
      </w:r>
      <w:r w:rsidRPr="00443CA8">
        <w:rPr>
          <w:rFonts w:ascii="Arial" w:hAnsi="Arial" w:cs="Arial"/>
        </w:rPr>
        <w:t>informal guidance only</w:t>
      </w:r>
      <w:r w:rsidR="00443CA8" w:rsidRPr="00443CA8">
        <w:rPr>
          <w:rFonts w:ascii="Arial" w:hAnsi="Arial" w:cs="Arial"/>
        </w:rPr>
        <w:t xml:space="preserve">. </w:t>
      </w:r>
      <w:r w:rsidR="00DB0ACC">
        <w:rPr>
          <w:rFonts w:ascii="Arial" w:hAnsi="Arial" w:cs="Arial"/>
        </w:rPr>
        <w:t xml:space="preserve">There has been no update from HMT </w:t>
      </w:r>
      <w:r w:rsidR="00774634">
        <w:rPr>
          <w:rFonts w:ascii="Arial" w:hAnsi="Arial" w:cs="Arial"/>
        </w:rPr>
        <w:t xml:space="preserve">or Home Office </w:t>
      </w:r>
      <w:r w:rsidR="00DB0ACC">
        <w:rPr>
          <w:rFonts w:ascii="Arial" w:hAnsi="Arial" w:cs="Arial"/>
        </w:rPr>
        <w:t>on this note</w:t>
      </w:r>
      <w:r w:rsidR="00C14B12">
        <w:rPr>
          <w:rFonts w:ascii="Arial" w:hAnsi="Arial" w:cs="Arial"/>
        </w:rPr>
        <w:t xml:space="preserve">, despite a more cautionary note included under </w:t>
      </w:r>
      <w:hyperlink r:id="rId18" w:history="1">
        <w:r w:rsidR="00C14B12" w:rsidRPr="00C14B12">
          <w:rPr>
            <w:rStyle w:val="Hyperlink"/>
            <w:rFonts w:ascii="Arial" w:hAnsi="Arial" w:cs="Arial"/>
          </w:rPr>
          <w:t>question 10 of the Home Office FAQs</w:t>
        </w:r>
      </w:hyperlink>
      <w:r w:rsidR="00774634">
        <w:rPr>
          <w:rFonts w:ascii="Arial" w:hAnsi="Arial" w:cs="Arial"/>
        </w:rPr>
        <w:t xml:space="preserve"> </w:t>
      </w:r>
      <w:r w:rsidR="004914EC">
        <w:rPr>
          <w:rFonts w:ascii="Arial" w:hAnsi="Arial" w:cs="Arial"/>
        </w:rPr>
        <w:t xml:space="preserve">that the </w:t>
      </w:r>
      <w:r w:rsidR="00774634" w:rsidRPr="00774634">
        <w:rPr>
          <w:rFonts w:ascii="Arial" w:hAnsi="Arial" w:cs="Arial"/>
        </w:rPr>
        <w:t>legislation that allows schemes to do this is limited in effect</w:t>
      </w:r>
      <w:r w:rsidR="004914EC">
        <w:rPr>
          <w:rFonts w:ascii="Arial" w:hAnsi="Arial" w:cs="Arial"/>
        </w:rPr>
        <w:t xml:space="preserve"> (we believe that is a reference to section 61 of the equality act)</w:t>
      </w:r>
      <w:r w:rsidR="009448A8">
        <w:rPr>
          <w:rFonts w:ascii="Arial" w:hAnsi="Arial" w:cs="Arial"/>
        </w:rPr>
        <w:t xml:space="preserve">, which </w:t>
      </w:r>
      <w:r w:rsidR="009448A8" w:rsidRPr="00774634">
        <w:rPr>
          <w:rFonts w:ascii="Arial" w:hAnsi="Arial" w:cs="Arial"/>
        </w:rPr>
        <w:t>does not allow for all consequential matters to be dealt with satisfactorily in all cases. For example, in cases where there are interactions with the tax system, perhaps where members have incurred or will incur tax charges or where contributions differ between the schemes</w:t>
      </w:r>
      <w:r w:rsidR="009448A8">
        <w:rPr>
          <w:rFonts w:ascii="Arial" w:hAnsi="Arial" w:cs="Arial"/>
        </w:rPr>
        <w:t>.</w:t>
      </w:r>
    </w:p>
    <w:p w14:paraId="3AD9A1D5" w14:textId="77777777" w:rsidR="00C13E3A" w:rsidRPr="00C13E3A" w:rsidRDefault="00C13E3A" w:rsidP="00C13E3A">
      <w:pPr>
        <w:pStyle w:val="ListParagraph"/>
        <w:rPr>
          <w:rFonts w:ascii="Arial" w:hAnsi="Arial" w:cs="Arial"/>
        </w:rPr>
      </w:pPr>
    </w:p>
    <w:p w14:paraId="11FEDAD3" w14:textId="77777777" w:rsidR="00011193" w:rsidRDefault="00A17A22" w:rsidP="004F1DD6">
      <w:pPr>
        <w:pStyle w:val="ListParagraph"/>
        <w:numPr>
          <w:ilvl w:val="0"/>
          <w:numId w:val="1"/>
        </w:numPr>
        <w:ind w:left="567" w:hanging="567"/>
        <w:jc w:val="both"/>
        <w:rPr>
          <w:rFonts w:ascii="Arial" w:eastAsia="Calibri" w:hAnsi="Arial" w:cs="Arial"/>
          <w:bCs/>
          <w:lang w:eastAsia="en-GB"/>
        </w:rPr>
      </w:pPr>
      <w:r>
        <w:rPr>
          <w:rFonts w:ascii="Arial" w:eastAsia="Calibri" w:hAnsi="Arial" w:cs="Arial"/>
          <w:bCs/>
          <w:lang w:eastAsia="en-GB"/>
        </w:rPr>
        <w:t xml:space="preserve">The LGA published an </w:t>
      </w:r>
      <w:hyperlink r:id="rId19" w:history="1">
        <w:r w:rsidR="00406F67" w:rsidRPr="00406F67">
          <w:rPr>
            <w:rStyle w:val="Hyperlink"/>
            <w:rFonts w:ascii="Arial" w:eastAsia="Calibri" w:hAnsi="Arial" w:cs="Arial"/>
            <w:bCs/>
            <w:lang w:eastAsia="en-GB"/>
          </w:rPr>
          <w:t xml:space="preserve">immediate detriment </w:t>
        </w:r>
        <w:r w:rsidRPr="00406F67">
          <w:rPr>
            <w:rStyle w:val="Hyperlink"/>
            <w:rFonts w:ascii="Arial" w:eastAsia="Calibri" w:hAnsi="Arial" w:cs="Arial"/>
            <w:bCs/>
            <w:lang w:eastAsia="en-GB"/>
          </w:rPr>
          <w:t>information note</w:t>
        </w:r>
        <w:r w:rsidR="002A79B6" w:rsidRPr="00406F67">
          <w:rPr>
            <w:rStyle w:val="Hyperlink"/>
            <w:rFonts w:ascii="Arial" w:eastAsia="Calibri" w:hAnsi="Arial" w:cs="Arial"/>
            <w:bCs/>
            <w:lang w:eastAsia="en-GB"/>
          </w:rPr>
          <w:t xml:space="preserve"> for FRAs</w:t>
        </w:r>
      </w:hyperlink>
      <w:r w:rsidR="002A79B6">
        <w:rPr>
          <w:rFonts w:ascii="Arial" w:eastAsia="Calibri" w:hAnsi="Arial" w:cs="Arial"/>
          <w:bCs/>
          <w:lang w:eastAsia="en-GB"/>
        </w:rPr>
        <w:t xml:space="preserve"> which gave further clarification of the technical issues yet to be commented on by Home Office or HMT and the issues that would need to be decided by FRAs in their decision making on making any immediate detriment payments.  </w:t>
      </w:r>
    </w:p>
    <w:p w14:paraId="7C9F14F1" w14:textId="77777777" w:rsidR="00011193" w:rsidRDefault="00011193" w:rsidP="00117E4A">
      <w:pPr>
        <w:pStyle w:val="ListParagraph"/>
        <w:ind w:left="567"/>
        <w:jc w:val="both"/>
        <w:rPr>
          <w:rFonts w:ascii="Arial" w:eastAsia="Calibri" w:hAnsi="Arial" w:cs="Arial"/>
          <w:bCs/>
          <w:lang w:eastAsia="en-GB"/>
        </w:rPr>
      </w:pPr>
    </w:p>
    <w:p w14:paraId="01C00199" w14:textId="4F6DD90F" w:rsidR="00A17A22" w:rsidRDefault="002A79B6" w:rsidP="004F1DD6">
      <w:pPr>
        <w:pStyle w:val="ListParagraph"/>
        <w:numPr>
          <w:ilvl w:val="0"/>
          <w:numId w:val="1"/>
        </w:numPr>
        <w:ind w:left="567" w:hanging="567"/>
        <w:jc w:val="both"/>
        <w:rPr>
          <w:rFonts w:ascii="Arial" w:eastAsia="Calibri" w:hAnsi="Arial" w:cs="Arial"/>
          <w:bCs/>
          <w:lang w:eastAsia="en-GB"/>
        </w:rPr>
      </w:pPr>
      <w:r>
        <w:rPr>
          <w:rFonts w:ascii="Arial" w:eastAsia="Calibri" w:hAnsi="Arial" w:cs="Arial"/>
          <w:bCs/>
          <w:lang w:eastAsia="en-GB"/>
        </w:rPr>
        <w:t xml:space="preserve">Decision making is likely to be on a case by case basis and a </w:t>
      </w:r>
      <w:hyperlink r:id="rId20" w:history="1">
        <w:r w:rsidRPr="00E8444E">
          <w:rPr>
            <w:rStyle w:val="Hyperlink"/>
            <w:rFonts w:ascii="Arial" w:eastAsia="Calibri" w:hAnsi="Arial" w:cs="Arial"/>
            <w:bCs/>
            <w:lang w:eastAsia="en-GB"/>
          </w:rPr>
          <w:t>matrix</w:t>
        </w:r>
      </w:hyperlink>
      <w:r>
        <w:rPr>
          <w:rFonts w:ascii="Arial" w:eastAsia="Calibri" w:hAnsi="Arial" w:cs="Arial"/>
          <w:bCs/>
          <w:lang w:eastAsia="en-GB"/>
        </w:rPr>
        <w:t xml:space="preserve"> was included to help FRAs identify </w:t>
      </w:r>
      <w:r w:rsidR="00E8444E">
        <w:rPr>
          <w:rFonts w:ascii="Arial" w:eastAsia="Calibri" w:hAnsi="Arial" w:cs="Arial"/>
          <w:bCs/>
          <w:lang w:eastAsia="en-GB"/>
        </w:rPr>
        <w:t>whether they have all the information necessary to make a payment.</w:t>
      </w:r>
    </w:p>
    <w:p w14:paraId="0DC95B83" w14:textId="77777777" w:rsidR="00443CA8" w:rsidRPr="00443CA8" w:rsidRDefault="00443CA8" w:rsidP="00443CA8">
      <w:pPr>
        <w:pStyle w:val="ListParagraph"/>
        <w:rPr>
          <w:rFonts w:ascii="Arial" w:eastAsia="Calibri" w:hAnsi="Arial" w:cs="Arial"/>
          <w:bCs/>
          <w:lang w:eastAsia="en-GB"/>
        </w:rPr>
      </w:pPr>
    </w:p>
    <w:p w14:paraId="0FF380B5" w14:textId="084FFB93" w:rsidR="008E6BC7" w:rsidRDefault="00443CA8" w:rsidP="008E6BC7">
      <w:pPr>
        <w:pStyle w:val="ListParagraph"/>
        <w:numPr>
          <w:ilvl w:val="0"/>
          <w:numId w:val="1"/>
        </w:numPr>
        <w:ind w:left="567" w:hanging="567"/>
        <w:jc w:val="both"/>
        <w:rPr>
          <w:rFonts w:ascii="Arial" w:hAnsi="Arial" w:cs="Arial"/>
          <w:color w:val="000000"/>
        </w:rPr>
      </w:pPr>
      <w:r w:rsidRPr="00877D6B">
        <w:rPr>
          <w:rFonts w:ascii="Arial" w:eastAsia="Calibri" w:hAnsi="Arial" w:cs="Arial"/>
          <w:bCs/>
          <w:lang w:eastAsia="en-GB"/>
        </w:rPr>
        <w:t xml:space="preserve">FRAs now need to determine </w:t>
      </w:r>
      <w:r w:rsidR="004D65B1" w:rsidRPr="00877D6B">
        <w:rPr>
          <w:rFonts w:ascii="Arial" w:eastAsia="Calibri" w:hAnsi="Arial" w:cs="Arial"/>
          <w:bCs/>
          <w:lang w:eastAsia="en-GB"/>
        </w:rPr>
        <w:t xml:space="preserve">whether they have the necessary information available to them </w:t>
      </w:r>
      <w:r w:rsidR="003978B3" w:rsidRPr="00877D6B">
        <w:rPr>
          <w:rFonts w:ascii="Arial" w:eastAsia="Calibri" w:hAnsi="Arial" w:cs="Arial"/>
          <w:bCs/>
          <w:lang w:eastAsia="en-GB"/>
        </w:rPr>
        <w:t>to</w:t>
      </w:r>
      <w:r w:rsidR="00A25D9C" w:rsidRPr="00877D6B">
        <w:rPr>
          <w:rFonts w:ascii="Arial" w:eastAsia="Calibri" w:hAnsi="Arial" w:cs="Arial"/>
          <w:bCs/>
          <w:lang w:eastAsia="en-GB"/>
        </w:rPr>
        <w:t xml:space="preserve"> </w:t>
      </w:r>
      <w:r w:rsidR="004D65B1" w:rsidRPr="00877D6B">
        <w:rPr>
          <w:rFonts w:ascii="Arial" w:hAnsi="Arial" w:cs="Arial"/>
          <w:color w:val="000000"/>
        </w:rPr>
        <w:t>make decisions and understand the risk</w:t>
      </w:r>
      <w:r w:rsidR="003978B3">
        <w:rPr>
          <w:rFonts w:ascii="Arial" w:hAnsi="Arial" w:cs="Arial"/>
          <w:color w:val="000000"/>
        </w:rPr>
        <w:t xml:space="preserve"> to th</w:t>
      </w:r>
      <w:r w:rsidR="00AE6351">
        <w:rPr>
          <w:rFonts w:ascii="Arial" w:hAnsi="Arial" w:cs="Arial"/>
          <w:color w:val="000000"/>
        </w:rPr>
        <w:t xml:space="preserve">eir </w:t>
      </w:r>
      <w:r w:rsidR="000C6E61">
        <w:rPr>
          <w:rFonts w:ascii="Arial" w:hAnsi="Arial" w:cs="Arial"/>
          <w:color w:val="000000"/>
        </w:rPr>
        <w:t>organisation</w:t>
      </w:r>
      <w:r w:rsidR="00B40D75">
        <w:rPr>
          <w:rFonts w:ascii="Arial" w:hAnsi="Arial" w:cs="Arial"/>
          <w:color w:val="000000"/>
        </w:rPr>
        <w:t xml:space="preserve">, </w:t>
      </w:r>
      <w:r w:rsidR="00E45E6B">
        <w:rPr>
          <w:rFonts w:ascii="Arial" w:hAnsi="Arial" w:cs="Arial"/>
          <w:color w:val="000000"/>
        </w:rPr>
        <w:t xml:space="preserve">to do this </w:t>
      </w:r>
      <w:r w:rsidR="00B40D75">
        <w:rPr>
          <w:rFonts w:ascii="Arial" w:hAnsi="Arial" w:cs="Arial"/>
          <w:color w:val="000000"/>
        </w:rPr>
        <w:t xml:space="preserve">they may want to </w:t>
      </w:r>
      <w:r w:rsidR="00763C89">
        <w:rPr>
          <w:rFonts w:ascii="Arial" w:hAnsi="Arial" w:cs="Arial"/>
          <w:color w:val="000000"/>
        </w:rPr>
        <w:t>consider</w:t>
      </w:r>
      <w:r w:rsidR="00EB1A84">
        <w:rPr>
          <w:rFonts w:ascii="Arial" w:hAnsi="Arial" w:cs="Arial"/>
          <w:color w:val="000000"/>
        </w:rPr>
        <w:t>:</w:t>
      </w:r>
    </w:p>
    <w:p w14:paraId="0B9D5615" w14:textId="77777777" w:rsidR="008E6BC7" w:rsidRPr="008E6BC7" w:rsidRDefault="008E6BC7" w:rsidP="008E6BC7">
      <w:pPr>
        <w:pStyle w:val="ListParagraph"/>
        <w:rPr>
          <w:rFonts w:ascii="Arial" w:eastAsia="Calibri" w:hAnsi="Arial" w:cs="Arial"/>
          <w:bCs/>
          <w:lang w:eastAsia="en-GB"/>
        </w:rPr>
      </w:pPr>
    </w:p>
    <w:p w14:paraId="6FBC68E5" w14:textId="6D196E61" w:rsidR="00B40D75" w:rsidRPr="008E6BC7" w:rsidRDefault="00A13595" w:rsidP="00EB1A84">
      <w:pPr>
        <w:pStyle w:val="ListParagraph"/>
        <w:numPr>
          <w:ilvl w:val="1"/>
          <w:numId w:val="1"/>
        </w:numPr>
        <w:ind w:left="1418" w:hanging="851"/>
        <w:jc w:val="both"/>
        <w:rPr>
          <w:rFonts w:ascii="Arial" w:hAnsi="Arial" w:cs="Arial"/>
          <w:color w:val="000000"/>
        </w:rPr>
      </w:pPr>
      <w:r w:rsidRPr="008E6BC7">
        <w:rPr>
          <w:rFonts w:ascii="Arial" w:eastAsia="Calibri" w:hAnsi="Arial" w:cs="Arial"/>
          <w:bCs/>
          <w:lang w:eastAsia="en-GB"/>
        </w:rPr>
        <w:t xml:space="preserve">Is the </w:t>
      </w:r>
      <w:r w:rsidR="00187702" w:rsidRPr="008E6BC7">
        <w:rPr>
          <w:rFonts w:ascii="Arial" w:eastAsia="Calibri" w:hAnsi="Arial" w:cs="Arial"/>
          <w:bCs/>
          <w:lang w:eastAsia="en-GB"/>
        </w:rPr>
        <w:t>six-page</w:t>
      </w:r>
      <w:r w:rsidRPr="008E6BC7">
        <w:rPr>
          <w:rFonts w:ascii="Arial" w:eastAsia="Calibri" w:hAnsi="Arial" w:cs="Arial"/>
          <w:bCs/>
          <w:lang w:eastAsia="en-GB"/>
        </w:rPr>
        <w:t xml:space="preserve"> note </w:t>
      </w:r>
      <w:r w:rsidR="00AF2803" w:rsidRPr="008E6BC7">
        <w:rPr>
          <w:rFonts w:ascii="Arial" w:eastAsia="Calibri" w:hAnsi="Arial" w:cs="Arial"/>
          <w:bCs/>
          <w:lang w:eastAsia="en-GB"/>
        </w:rPr>
        <w:t>provided by Home Office</w:t>
      </w:r>
      <w:r w:rsidR="008E47DE">
        <w:rPr>
          <w:rFonts w:ascii="Arial" w:eastAsia="Calibri" w:hAnsi="Arial" w:cs="Arial"/>
          <w:bCs/>
          <w:lang w:eastAsia="en-GB"/>
        </w:rPr>
        <w:t xml:space="preserve"> and in-house scheme knowledge</w:t>
      </w:r>
      <w:r w:rsidR="00AF2803" w:rsidRPr="008E6BC7">
        <w:rPr>
          <w:rFonts w:ascii="Arial" w:eastAsia="Calibri" w:hAnsi="Arial" w:cs="Arial"/>
          <w:bCs/>
          <w:lang w:eastAsia="en-GB"/>
        </w:rPr>
        <w:t xml:space="preserve"> </w:t>
      </w:r>
      <w:r w:rsidRPr="008E6BC7">
        <w:rPr>
          <w:rFonts w:ascii="Arial" w:eastAsia="Calibri" w:hAnsi="Arial" w:cs="Arial"/>
          <w:bCs/>
          <w:lang w:eastAsia="en-GB"/>
        </w:rPr>
        <w:t>sufficient guidance to enable accurate calculations for members</w:t>
      </w:r>
    </w:p>
    <w:p w14:paraId="578F53B1" w14:textId="77777777" w:rsidR="00D01A59" w:rsidRDefault="00D01A59" w:rsidP="00D01A59">
      <w:pPr>
        <w:pStyle w:val="ListParagraph"/>
        <w:ind w:left="1080"/>
        <w:jc w:val="both"/>
        <w:rPr>
          <w:rFonts w:ascii="Arial" w:eastAsia="Calibri" w:hAnsi="Arial" w:cs="Arial"/>
          <w:bCs/>
          <w:lang w:eastAsia="en-GB"/>
        </w:rPr>
      </w:pPr>
    </w:p>
    <w:p w14:paraId="32AF75FA" w14:textId="7F7F73ED" w:rsidR="00E45E6B" w:rsidRDefault="00B76A10" w:rsidP="00EB1A84">
      <w:pPr>
        <w:pStyle w:val="ListParagraph"/>
        <w:numPr>
          <w:ilvl w:val="1"/>
          <w:numId w:val="1"/>
        </w:numPr>
        <w:ind w:left="1418" w:hanging="851"/>
        <w:jc w:val="both"/>
        <w:rPr>
          <w:rFonts w:ascii="Arial" w:eastAsia="Calibri" w:hAnsi="Arial" w:cs="Arial"/>
          <w:bCs/>
          <w:lang w:eastAsia="en-GB"/>
        </w:rPr>
      </w:pPr>
      <w:r w:rsidRPr="00E45E6B">
        <w:rPr>
          <w:rFonts w:ascii="Arial" w:eastAsia="Calibri" w:hAnsi="Arial" w:cs="Arial"/>
          <w:bCs/>
          <w:lang w:eastAsia="en-GB"/>
        </w:rPr>
        <w:t>What risk is there to the member on accepting payments without key policy decisions being made on how to apply interest on contributions due and how they might be taxed on any pension</w:t>
      </w:r>
      <w:r w:rsidR="007A31C1">
        <w:rPr>
          <w:rFonts w:ascii="Arial" w:eastAsia="Calibri" w:hAnsi="Arial" w:cs="Arial"/>
          <w:bCs/>
          <w:lang w:eastAsia="en-GB"/>
        </w:rPr>
        <w:t>, and what legislation is in place to deal with these issues bearing in mind the note of caution in question 10 of the FAQs</w:t>
      </w:r>
      <w:r w:rsidR="001E0070" w:rsidRPr="00E45E6B">
        <w:rPr>
          <w:rFonts w:ascii="Arial" w:eastAsia="Calibri" w:hAnsi="Arial" w:cs="Arial"/>
          <w:bCs/>
          <w:lang w:eastAsia="en-GB"/>
        </w:rPr>
        <w:t>.</w:t>
      </w:r>
    </w:p>
    <w:p w14:paraId="4E32B8F5" w14:textId="77777777" w:rsidR="00D01A59" w:rsidRDefault="00D01A59" w:rsidP="00D01A59">
      <w:pPr>
        <w:pStyle w:val="ListParagraph"/>
        <w:ind w:left="1080"/>
        <w:jc w:val="both"/>
        <w:rPr>
          <w:rFonts w:ascii="Arial" w:eastAsia="Calibri" w:hAnsi="Arial" w:cs="Arial"/>
          <w:bCs/>
          <w:lang w:eastAsia="en-GB"/>
        </w:rPr>
      </w:pPr>
    </w:p>
    <w:p w14:paraId="4BBB0700" w14:textId="02573B4A" w:rsidR="005B6A7D" w:rsidRDefault="007723B4" w:rsidP="00EB1A84">
      <w:pPr>
        <w:pStyle w:val="ListParagraph"/>
        <w:numPr>
          <w:ilvl w:val="1"/>
          <w:numId w:val="1"/>
        </w:numPr>
        <w:ind w:hanging="225"/>
        <w:jc w:val="both"/>
        <w:rPr>
          <w:rFonts w:ascii="Arial" w:eastAsia="Calibri" w:hAnsi="Arial" w:cs="Arial"/>
          <w:bCs/>
          <w:lang w:eastAsia="en-GB"/>
        </w:rPr>
      </w:pPr>
      <w:r w:rsidRPr="002A4E15">
        <w:rPr>
          <w:rFonts w:ascii="Arial" w:eastAsia="Calibri" w:hAnsi="Arial" w:cs="Arial"/>
          <w:bCs/>
          <w:lang w:eastAsia="en-GB"/>
        </w:rPr>
        <w:t>What governance might they put in place to</w:t>
      </w:r>
      <w:r w:rsidR="00326714" w:rsidRPr="002A4E15">
        <w:rPr>
          <w:rFonts w:ascii="Arial" w:eastAsia="Calibri" w:hAnsi="Arial" w:cs="Arial"/>
          <w:bCs/>
          <w:lang w:eastAsia="en-GB"/>
        </w:rPr>
        <w:t xml:space="preserve"> assure themselves </w:t>
      </w:r>
      <w:r w:rsidR="00D01A59" w:rsidRPr="002A4E15">
        <w:rPr>
          <w:rFonts w:ascii="Arial" w:eastAsia="Calibri" w:hAnsi="Arial" w:cs="Arial"/>
          <w:bCs/>
          <w:lang w:eastAsia="en-GB"/>
        </w:rPr>
        <w:t>that</w:t>
      </w:r>
    </w:p>
    <w:p w14:paraId="2AAD7C86" w14:textId="77777777" w:rsidR="00D01A59" w:rsidRDefault="00D01A59" w:rsidP="00D01A59">
      <w:pPr>
        <w:pStyle w:val="ListParagraph"/>
        <w:ind w:left="1980"/>
        <w:jc w:val="both"/>
        <w:rPr>
          <w:rFonts w:ascii="Arial" w:eastAsia="Calibri" w:hAnsi="Arial" w:cs="Arial"/>
          <w:bCs/>
          <w:lang w:eastAsia="en-GB"/>
        </w:rPr>
      </w:pPr>
    </w:p>
    <w:p w14:paraId="65D05F9B" w14:textId="4971B805" w:rsidR="005B6A7D" w:rsidRDefault="005B6A7D" w:rsidP="00EB1A84">
      <w:pPr>
        <w:pStyle w:val="ListParagraph"/>
        <w:numPr>
          <w:ilvl w:val="2"/>
          <w:numId w:val="1"/>
        </w:numPr>
        <w:ind w:left="1843" w:hanging="425"/>
        <w:jc w:val="both"/>
        <w:rPr>
          <w:rFonts w:ascii="Arial" w:eastAsia="Calibri" w:hAnsi="Arial" w:cs="Arial"/>
          <w:bCs/>
          <w:lang w:eastAsia="en-GB"/>
        </w:rPr>
      </w:pPr>
      <w:r>
        <w:rPr>
          <w:rFonts w:ascii="Arial" w:eastAsia="Calibri" w:hAnsi="Arial" w:cs="Arial"/>
          <w:bCs/>
          <w:lang w:eastAsia="en-GB"/>
        </w:rPr>
        <w:t>T</w:t>
      </w:r>
      <w:r w:rsidR="00326714" w:rsidRPr="002A4E15">
        <w:rPr>
          <w:rFonts w:ascii="Arial" w:eastAsia="Calibri" w:hAnsi="Arial" w:cs="Arial"/>
          <w:bCs/>
          <w:lang w:eastAsia="en-GB"/>
        </w:rPr>
        <w:t>he correct benefits are being paid to members</w:t>
      </w:r>
    </w:p>
    <w:p w14:paraId="0E616523" w14:textId="77777777" w:rsidR="00D01A59" w:rsidRDefault="00D01A59" w:rsidP="00EB1A84">
      <w:pPr>
        <w:pStyle w:val="ListParagraph"/>
        <w:ind w:left="1843" w:hanging="425"/>
        <w:jc w:val="both"/>
        <w:rPr>
          <w:rFonts w:ascii="Arial" w:eastAsia="Calibri" w:hAnsi="Arial" w:cs="Arial"/>
          <w:bCs/>
          <w:lang w:eastAsia="en-GB"/>
        </w:rPr>
      </w:pPr>
    </w:p>
    <w:p w14:paraId="274049F0" w14:textId="427B470C" w:rsidR="00E134C5" w:rsidRDefault="005B6A7D" w:rsidP="00EB1A84">
      <w:pPr>
        <w:pStyle w:val="ListParagraph"/>
        <w:numPr>
          <w:ilvl w:val="2"/>
          <w:numId w:val="1"/>
        </w:numPr>
        <w:ind w:left="1843" w:hanging="425"/>
        <w:jc w:val="both"/>
        <w:rPr>
          <w:rFonts w:ascii="Arial" w:eastAsia="Calibri" w:hAnsi="Arial" w:cs="Arial"/>
          <w:bCs/>
          <w:lang w:eastAsia="en-GB"/>
        </w:rPr>
      </w:pPr>
      <w:r>
        <w:rPr>
          <w:rFonts w:ascii="Arial" w:eastAsia="Calibri" w:hAnsi="Arial" w:cs="Arial"/>
          <w:bCs/>
          <w:lang w:eastAsia="en-GB"/>
        </w:rPr>
        <w:t>M</w:t>
      </w:r>
      <w:r w:rsidR="00326714" w:rsidRPr="002A4E15">
        <w:rPr>
          <w:rFonts w:ascii="Arial" w:eastAsia="Calibri" w:hAnsi="Arial" w:cs="Arial"/>
          <w:bCs/>
          <w:lang w:eastAsia="en-GB"/>
        </w:rPr>
        <w:t xml:space="preserve">embers have been satisfactorily been made aware of any changes such as future </w:t>
      </w:r>
      <w:r w:rsidR="00DD3FBC" w:rsidRPr="002A4E15">
        <w:rPr>
          <w:rFonts w:ascii="Arial" w:eastAsia="Calibri" w:hAnsi="Arial" w:cs="Arial"/>
          <w:bCs/>
          <w:lang w:eastAsia="en-GB"/>
        </w:rPr>
        <w:t xml:space="preserve">payments due </w:t>
      </w:r>
      <w:r w:rsidR="004D1F75" w:rsidRPr="002A4E15">
        <w:rPr>
          <w:rFonts w:ascii="Arial" w:eastAsia="Calibri" w:hAnsi="Arial" w:cs="Arial"/>
          <w:bCs/>
          <w:lang w:eastAsia="en-GB"/>
        </w:rPr>
        <w:t xml:space="preserve">to </w:t>
      </w:r>
      <w:r w:rsidR="00EC5B08" w:rsidRPr="002A4E15">
        <w:rPr>
          <w:rFonts w:ascii="Arial" w:eastAsia="Calibri" w:hAnsi="Arial" w:cs="Arial"/>
          <w:bCs/>
          <w:lang w:eastAsia="en-GB"/>
        </w:rPr>
        <w:t xml:space="preserve">interest being collected </w:t>
      </w:r>
      <w:r w:rsidR="00DD3FBC" w:rsidRPr="002A4E15">
        <w:rPr>
          <w:rFonts w:ascii="Arial" w:eastAsia="Calibri" w:hAnsi="Arial" w:cs="Arial"/>
          <w:bCs/>
          <w:lang w:eastAsia="en-GB"/>
        </w:rPr>
        <w:t xml:space="preserve">on contributions. </w:t>
      </w:r>
    </w:p>
    <w:p w14:paraId="6F25CBEC" w14:textId="77777777" w:rsidR="00D01A59" w:rsidRDefault="00D01A59" w:rsidP="00EB1A84">
      <w:pPr>
        <w:pStyle w:val="ListParagraph"/>
        <w:ind w:left="1843" w:hanging="425"/>
        <w:jc w:val="both"/>
        <w:rPr>
          <w:rFonts w:ascii="Arial" w:eastAsia="Calibri" w:hAnsi="Arial" w:cs="Arial"/>
          <w:bCs/>
          <w:lang w:eastAsia="en-GB"/>
        </w:rPr>
      </w:pPr>
    </w:p>
    <w:p w14:paraId="5025BACE" w14:textId="5C8ED8F3" w:rsidR="005B6A7D" w:rsidRPr="00E45E6B" w:rsidRDefault="005B6A7D" w:rsidP="00EB1A84">
      <w:pPr>
        <w:pStyle w:val="ListParagraph"/>
        <w:numPr>
          <w:ilvl w:val="2"/>
          <w:numId w:val="1"/>
        </w:numPr>
        <w:ind w:left="1843" w:hanging="425"/>
        <w:jc w:val="both"/>
        <w:rPr>
          <w:rFonts w:ascii="Arial" w:eastAsia="Calibri" w:hAnsi="Arial" w:cs="Arial"/>
          <w:bCs/>
          <w:lang w:eastAsia="en-GB"/>
        </w:rPr>
      </w:pPr>
      <w:r>
        <w:rPr>
          <w:rFonts w:ascii="Arial" w:eastAsia="Calibri" w:hAnsi="Arial" w:cs="Arial"/>
          <w:bCs/>
          <w:lang w:eastAsia="en-GB"/>
        </w:rPr>
        <w:t>Necessary processes will be in place to calculate and record the payments due b</w:t>
      </w:r>
      <w:r w:rsidRPr="00E45E6B">
        <w:rPr>
          <w:rFonts w:ascii="Arial" w:eastAsia="Calibri" w:hAnsi="Arial" w:cs="Arial"/>
          <w:bCs/>
          <w:lang w:eastAsia="en-GB"/>
        </w:rPr>
        <w:t xml:space="preserve">earing in mind that no automated processes or systems are available for the calculation until the significant software development </w:t>
      </w:r>
      <w:r>
        <w:rPr>
          <w:rFonts w:ascii="Arial" w:eastAsia="Calibri" w:hAnsi="Arial" w:cs="Arial"/>
          <w:bCs/>
          <w:lang w:eastAsia="en-GB"/>
        </w:rPr>
        <w:t>has been completed</w:t>
      </w:r>
      <w:r w:rsidRPr="00E45E6B">
        <w:rPr>
          <w:rFonts w:ascii="Arial" w:eastAsia="Calibri" w:hAnsi="Arial" w:cs="Arial"/>
          <w:bCs/>
          <w:lang w:eastAsia="en-GB"/>
        </w:rPr>
        <w:t xml:space="preserve">. </w:t>
      </w:r>
    </w:p>
    <w:p w14:paraId="4F1F5151" w14:textId="77777777" w:rsidR="00D01A59" w:rsidRDefault="00D01A59" w:rsidP="00A17A22">
      <w:pPr>
        <w:jc w:val="both"/>
        <w:rPr>
          <w:rFonts w:ascii="Arial" w:hAnsi="Arial" w:cs="Arial"/>
          <w:b/>
          <w:color w:val="000000"/>
        </w:rPr>
      </w:pPr>
    </w:p>
    <w:p w14:paraId="552FDFF8" w14:textId="0808A7F0" w:rsidR="00A17A22" w:rsidRPr="002C1EF2" w:rsidRDefault="00A17A22" w:rsidP="00A17A22">
      <w:pPr>
        <w:jc w:val="both"/>
        <w:rPr>
          <w:rFonts w:ascii="Arial" w:hAnsi="Arial" w:cs="Arial"/>
          <w:b/>
          <w:color w:val="000000"/>
        </w:rPr>
      </w:pPr>
      <w:r w:rsidRPr="002C1EF2">
        <w:rPr>
          <w:rFonts w:ascii="Arial" w:hAnsi="Arial" w:cs="Arial"/>
          <w:b/>
          <w:color w:val="000000"/>
        </w:rPr>
        <w:t>KEY</w:t>
      </w:r>
      <w:r>
        <w:rPr>
          <w:rFonts w:ascii="Arial" w:hAnsi="Arial" w:cs="Arial"/>
          <w:b/>
          <w:color w:val="000000"/>
        </w:rPr>
        <w:t xml:space="preserve"> CURRENT </w:t>
      </w:r>
      <w:r w:rsidRPr="002C1EF2">
        <w:rPr>
          <w:rFonts w:ascii="Arial" w:hAnsi="Arial" w:cs="Arial"/>
          <w:b/>
          <w:color w:val="000000"/>
        </w:rPr>
        <w:t>WIDER WORKFORCE ISSUES</w:t>
      </w:r>
    </w:p>
    <w:p w14:paraId="28B01000" w14:textId="77777777" w:rsidR="00A17A22" w:rsidRDefault="00A17A22" w:rsidP="00A17A22">
      <w:pPr>
        <w:jc w:val="both"/>
        <w:rPr>
          <w:rFonts w:ascii="Arial" w:hAnsi="Arial" w:cs="Arial"/>
          <w:b/>
          <w:color w:val="000000"/>
        </w:rPr>
      </w:pPr>
    </w:p>
    <w:p w14:paraId="673E50B9" w14:textId="44D98713" w:rsidR="00FF55E8" w:rsidRPr="007C737D" w:rsidRDefault="00FF55E8" w:rsidP="00FF55E8">
      <w:pPr>
        <w:jc w:val="both"/>
        <w:rPr>
          <w:rFonts w:ascii="Arial" w:eastAsia="Calibri" w:hAnsi="Arial" w:cs="Arial"/>
          <w:b/>
          <w:lang w:eastAsia="en-GB"/>
        </w:rPr>
      </w:pPr>
      <w:r w:rsidRPr="007C737D">
        <w:rPr>
          <w:rFonts w:ascii="Arial" w:eastAsia="Calibri" w:hAnsi="Arial" w:cs="Arial"/>
          <w:b/>
          <w:lang w:eastAsia="en-GB"/>
        </w:rPr>
        <w:t>Pay 202</w:t>
      </w:r>
      <w:r w:rsidR="002346FB" w:rsidRPr="007C737D">
        <w:rPr>
          <w:rFonts w:ascii="Arial" w:eastAsia="Calibri" w:hAnsi="Arial" w:cs="Arial"/>
          <w:b/>
          <w:lang w:eastAsia="en-GB"/>
        </w:rPr>
        <w:t>1</w:t>
      </w:r>
    </w:p>
    <w:p w14:paraId="5CABC4B0" w14:textId="77777777" w:rsidR="00FF55E8" w:rsidRDefault="00FF55E8" w:rsidP="00FF55E8">
      <w:pPr>
        <w:pStyle w:val="ListParagraph"/>
        <w:ind w:left="360"/>
        <w:jc w:val="both"/>
        <w:rPr>
          <w:rFonts w:ascii="Arial" w:eastAsia="Calibri" w:hAnsi="Arial" w:cs="Arial"/>
          <w:lang w:eastAsia="en-GB"/>
        </w:rPr>
      </w:pPr>
    </w:p>
    <w:p w14:paraId="3EF5FE22" w14:textId="035D8634" w:rsidR="009C7FA4" w:rsidRPr="00B924E2" w:rsidRDefault="009C7FA4" w:rsidP="00FF55E8">
      <w:pPr>
        <w:pStyle w:val="ListParagraph"/>
        <w:numPr>
          <w:ilvl w:val="0"/>
          <w:numId w:val="1"/>
        </w:numPr>
        <w:spacing w:line="276" w:lineRule="auto"/>
        <w:ind w:left="567" w:hanging="567"/>
        <w:contextualSpacing/>
        <w:jc w:val="both"/>
        <w:rPr>
          <w:rFonts w:ascii="Arial" w:hAnsi="Arial" w:cs="Arial"/>
          <w:lang w:eastAsia="en-GB"/>
        </w:rPr>
      </w:pPr>
      <w:r w:rsidRPr="00B924E2">
        <w:rPr>
          <w:rFonts w:ascii="Arial" w:hAnsi="Arial" w:cs="Arial"/>
          <w:lang w:eastAsia="en-GB"/>
        </w:rPr>
        <w:t xml:space="preserve">The Government </w:t>
      </w:r>
      <w:r w:rsidR="00EA5B4B" w:rsidRPr="00B924E2">
        <w:rPr>
          <w:rFonts w:ascii="Arial" w:hAnsi="Arial" w:cs="Arial"/>
          <w:lang w:eastAsia="en-GB"/>
        </w:rPr>
        <w:t xml:space="preserve">recently </w:t>
      </w:r>
      <w:r w:rsidRPr="00B924E2">
        <w:rPr>
          <w:rFonts w:ascii="Arial" w:hAnsi="Arial" w:cs="Arial"/>
          <w:lang w:eastAsia="en-GB"/>
        </w:rPr>
        <w:t>announced</w:t>
      </w:r>
      <w:r w:rsidR="00B05631" w:rsidRPr="00B924E2">
        <w:rPr>
          <w:rFonts w:ascii="Arial" w:hAnsi="Arial" w:cs="Arial"/>
          <w:lang w:eastAsia="en-GB"/>
        </w:rPr>
        <w:t>,</w:t>
      </w:r>
      <w:r w:rsidRPr="00B924E2">
        <w:rPr>
          <w:rFonts w:ascii="Arial" w:hAnsi="Arial" w:cs="Arial"/>
          <w:lang w:eastAsia="en-GB"/>
        </w:rPr>
        <w:t xml:space="preserve"> </w:t>
      </w:r>
      <w:r w:rsidR="00B05631" w:rsidRPr="00B924E2">
        <w:rPr>
          <w:rFonts w:ascii="Arial" w:hAnsi="Arial" w:cs="Arial"/>
          <w:lang w:eastAsia="en-GB"/>
        </w:rPr>
        <w:t xml:space="preserve">as part of the Spending Review, </w:t>
      </w:r>
      <w:r w:rsidR="00EA5B4B" w:rsidRPr="00B924E2">
        <w:rPr>
          <w:rFonts w:ascii="Arial" w:hAnsi="Arial" w:cs="Arial"/>
          <w:lang w:eastAsia="en-GB"/>
        </w:rPr>
        <w:t>its</w:t>
      </w:r>
      <w:r w:rsidRPr="00B924E2">
        <w:rPr>
          <w:rFonts w:ascii="Arial" w:hAnsi="Arial" w:cs="Arial"/>
          <w:lang w:eastAsia="en-GB"/>
        </w:rPr>
        <w:t xml:space="preserve"> approach to pay </w:t>
      </w:r>
      <w:r w:rsidR="00BF5A4A">
        <w:rPr>
          <w:rFonts w:ascii="Arial" w:hAnsi="Arial" w:cs="Arial"/>
          <w:lang w:eastAsia="en-GB"/>
        </w:rPr>
        <w:t xml:space="preserve">in 2021 </w:t>
      </w:r>
      <w:r w:rsidRPr="00B924E2">
        <w:rPr>
          <w:rFonts w:ascii="Arial" w:hAnsi="Arial" w:cs="Arial"/>
          <w:lang w:eastAsia="en-GB"/>
        </w:rPr>
        <w:t xml:space="preserve">for public sector employees for whom </w:t>
      </w:r>
      <w:r w:rsidR="009946EB" w:rsidRPr="00B924E2">
        <w:rPr>
          <w:rFonts w:ascii="Arial" w:hAnsi="Arial" w:cs="Arial"/>
          <w:lang w:eastAsia="en-GB"/>
        </w:rPr>
        <w:t>i</w:t>
      </w:r>
      <w:r w:rsidRPr="00B924E2">
        <w:rPr>
          <w:rFonts w:ascii="Arial" w:hAnsi="Arial" w:cs="Arial"/>
          <w:lang w:eastAsia="en-GB"/>
        </w:rPr>
        <w:t>t has responsibility</w:t>
      </w:r>
      <w:r w:rsidR="00EA5B4B" w:rsidRPr="00B924E2">
        <w:rPr>
          <w:rFonts w:ascii="Arial" w:hAnsi="Arial" w:cs="Arial"/>
          <w:lang w:eastAsia="en-GB"/>
        </w:rPr>
        <w:t xml:space="preserve">. </w:t>
      </w:r>
      <w:r w:rsidRPr="00B924E2">
        <w:rPr>
          <w:rFonts w:ascii="Arial" w:hAnsi="Arial" w:cs="Arial"/>
          <w:lang w:eastAsia="en-GB"/>
        </w:rPr>
        <w:t xml:space="preserve"> </w:t>
      </w:r>
    </w:p>
    <w:p w14:paraId="784E9C36" w14:textId="77777777" w:rsidR="00094671" w:rsidRDefault="00094671" w:rsidP="00B05631">
      <w:pPr>
        <w:pStyle w:val="ListParagraph"/>
        <w:spacing w:line="276" w:lineRule="auto"/>
        <w:ind w:left="567"/>
        <w:contextualSpacing/>
        <w:jc w:val="both"/>
        <w:rPr>
          <w:rFonts w:ascii="Arial" w:hAnsi="Arial" w:cs="Arial"/>
          <w:lang w:eastAsia="en-GB"/>
        </w:rPr>
      </w:pPr>
    </w:p>
    <w:p w14:paraId="4CB135E1" w14:textId="3854DE76" w:rsidR="00B05631" w:rsidRPr="00B924E2" w:rsidRDefault="00C57D8A" w:rsidP="00C57D8A">
      <w:pPr>
        <w:pStyle w:val="ListParagraph"/>
        <w:spacing w:line="276" w:lineRule="auto"/>
        <w:ind w:left="1134"/>
        <w:contextualSpacing/>
        <w:jc w:val="both"/>
        <w:rPr>
          <w:rFonts w:ascii="Arial" w:hAnsi="Arial" w:cs="Arial"/>
          <w:lang w:eastAsia="en-GB"/>
        </w:rPr>
      </w:pPr>
      <w:r>
        <w:rPr>
          <w:rFonts w:ascii="Arial" w:hAnsi="Arial" w:cs="Arial"/>
          <w:lang w:val="en"/>
        </w:rPr>
        <w:t>“In</w:t>
      </w:r>
      <w:r w:rsidR="00B05631" w:rsidRPr="00B924E2">
        <w:rPr>
          <w:rFonts w:ascii="Arial" w:hAnsi="Arial" w:cs="Arial"/>
          <w:lang w:val="en"/>
        </w:rPr>
        <w:t xml:space="preserve"> order to ensure fairness between the public and private </w:t>
      </w:r>
      <w:r w:rsidR="00F160C3" w:rsidRPr="00B924E2">
        <w:rPr>
          <w:rFonts w:ascii="Arial" w:hAnsi="Arial" w:cs="Arial"/>
          <w:lang w:val="en"/>
        </w:rPr>
        <w:t>sectors and</w:t>
      </w:r>
      <w:r w:rsidR="00B05631" w:rsidRPr="00B924E2">
        <w:rPr>
          <w:rFonts w:ascii="Arial" w:hAnsi="Arial" w:cs="Arial"/>
          <w:lang w:val="en"/>
        </w:rPr>
        <w:t xml:space="preserve"> protect public sector jobs and investment in services as Covid-19 continues to impact the public finances, the government will temporarily pause headline pay awards for some workforces. Pay rises for over 1 million NHS workers and the lowest paid</w:t>
      </w:r>
      <w:r w:rsidR="00BE30CD">
        <w:rPr>
          <w:rFonts w:ascii="Arial" w:hAnsi="Arial" w:cs="Arial"/>
          <w:lang w:val="en"/>
        </w:rPr>
        <w:t>*</w:t>
      </w:r>
      <w:r w:rsidR="00B05631" w:rsidRPr="00B924E2">
        <w:rPr>
          <w:rFonts w:ascii="Arial" w:hAnsi="Arial" w:cs="Arial"/>
          <w:lang w:val="en"/>
        </w:rPr>
        <w:t xml:space="preserve"> will continue despite the challenging economic context.</w:t>
      </w:r>
      <w:r w:rsidR="00B924E2" w:rsidRPr="00B924E2">
        <w:rPr>
          <w:rFonts w:ascii="Arial" w:hAnsi="Arial" w:cs="Arial"/>
          <w:lang w:val="en"/>
        </w:rPr>
        <w:t>”</w:t>
      </w:r>
    </w:p>
    <w:p w14:paraId="3C129BF2" w14:textId="13C8869C" w:rsidR="00E67CB7" w:rsidRDefault="00E67CB7" w:rsidP="00E67CB7">
      <w:pPr>
        <w:pStyle w:val="ListParagraph"/>
        <w:spacing w:line="276" w:lineRule="auto"/>
        <w:ind w:left="567"/>
        <w:contextualSpacing/>
        <w:jc w:val="both"/>
        <w:rPr>
          <w:rFonts w:ascii="ArialMT" w:hAnsi="ArialMT" w:cs="ArialMT"/>
          <w:lang w:eastAsia="en-GB"/>
        </w:rPr>
      </w:pPr>
    </w:p>
    <w:p w14:paraId="0EE0C227" w14:textId="73F8F256" w:rsidR="00BE30CD" w:rsidRDefault="00BE30CD" w:rsidP="00F771F5">
      <w:pPr>
        <w:pStyle w:val="ListParagraph"/>
        <w:spacing w:line="276" w:lineRule="auto"/>
        <w:ind w:left="567" w:firstLine="567"/>
        <w:contextualSpacing/>
        <w:jc w:val="both"/>
        <w:rPr>
          <w:rFonts w:ascii="ArialMT" w:hAnsi="ArialMT" w:cs="ArialMT"/>
          <w:lang w:eastAsia="en-GB"/>
        </w:rPr>
      </w:pPr>
      <w:r>
        <w:rPr>
          <w:rFonts w:ascii="ArialMT" w:hAnsi="ArialMT" w:cs="ArialMT"/>
          <w:lang w:eastAsia="en-GB"/>
        </w:rPr>
        <w:t xml:space="preserve">* </w:t>
      </w:r>
      <w:r w:rsidR="00F811EA">
        <w:rPr>
          <w:lang w:val="en"/>
        </w:rPr>
        <w:t xml:space="preserve">earning less than £24,000 </w:t>
      </w:r>
      <w:r w:rsidR="00F771F5">
        <w:rPr>
          <w:lang w:val="en"/>
        </w:rPr>
        <w:t xml:space="preserve">who will </w:t>
      </w:r>
      <w:r w:rsidR="00F811EA">
        <w:rPr>
          <w:lang w:val="en"/>
        </w:rPr>
        <w:t>receiv</w:t>
      </w:r>
      <w:r w:rsidR="00F771F5">
        <w:rPr>
          <w:lang w:val="en"/>
        </w:rPr>
        <w:t>e</w:t>
      </w:r>
      <w:r w:rsidR="00F811EA">
        <w:rPr>
          <w:lang w:val="en"/>
        </w:rPr>
        <w:t xml:space="preserve"> a minimum £250 increase</w:t>
      </w:r>
    </w:p>
    <w:p w14:paraId="0BFD0AB7" w14:textId="77777777" w:rsidR="00BE30CD" w:rsidRPr="00E67CB7" w:rsidRDefault="00BE30CD" w:rsidP="00E67CB7">
      <w:pPr>
        <w:pStyle w:val="ListParagraph"/>
        <w:spacing w:line="276" w:lineRule="auto"/>
        <w:ind w:left="567"/>
        <w:contextualSpacing/>
        <w:jc w:val="both"/>
        <w:rPr>
          <w:rFonts w:ascii="ArialMT" w:hAnsi="ArialMT" w:cs="ArialMT"/>
          <w:lang w:eastAsia="en-GB"/>
        </w:rPr>
      </w:pPr>
    </w:p>
    <w:p w14:paraId="24D317F9" w14:textId="0D95993D" w:rsidR="00E54414" w:rsidRPr="003920C0" w:rsidRDefault="00094671" w:rsidP="00FF55E8">
      <w:pPr>
        <w:pStyle w:val="ListParagraph"/>
        <w:numPr>
          <w:ilvl w:val="0"/>
          <w:numId w:val="1"/>
        </w:numPr>
        <w:spacing w:line="276" w:lineRule="auto"/>
        <w:ind w:left="567" w:hanging="567"/>
        <w:contextualSpacing/>
        <w:jc w:val="both"/>
        <w:rPr>
          <w:rFonts w:ascii="ArialMT" w:hAnsi="ArialMT" w:cs="ArialMT"/>
          <w:lang w:eastAsia="en-GB"/>
        </w:rPr>
      </w:pPr>
      <w:r w:rsidRPr="279A07B5">
        <w:rPr>
          <w:rFonts w:ascii="Arial" w:hAnsi="Arial" w:cs="Arial"/>
          <w:lang w:eastAsia="en-GB"/>
        </w:rPr>
        <w:t xml:space="preserve">The announcement does not have direct effect on </w:t>
      </w:r>
      <w:r w:rsidR="003F5D75" w:rsidRPr="279A07B5">
        <w:rPr>
          <w:rFonts w:ascii="Arial" w:hAnsi="Arial" w:cs="Arial"/>
          <w:lang w:eastAsia="en-GB"/>
        </w:rPr>
        <w:t xml:space="preserve">fire and rescue service employees that fall within the scope of the NJC for Local Authority Fire and Rescue Services </w:t>
      </w:r>
      <w:r w:rsidR="00673EAF" w:rsidRPr="279A07B5">
        <w:rPr>
          <w:rFonts w:ascii="Arial" w:hAnsi="Arial" w:cs="Arial"/>
          <w:lang w:eastAsia="en-GB"/>
        </w:rPr>
        <w:t>(Grey Book), NJC for Brigade Managers (Gold Book) and NJC for Local Government Services</w:t>
      </w:r>
      <w:r w:rsidR="000A2B48" w:rsidRPr="279A07B5">
        <w:rPr>
          <w:rFonts w:ascii="Arial" w:hAnsi="Arial" w:cs="Arial"/>
          <w:lang w:eastAsia="en-GB"/>
        </w:rPr>
        <w:t xml:space="preserve"> (Green Book)</w:t>
      </w:r>
      <w:r w:rsidR="009A6381" w:rsidRPr="279A07B5">
        <w:rPr>
          <w:rFonts w:ascii="Arial" w:hAnsi="Arial" w:cs="Arial"/>
          <w:lang w:eastAsia="en-GB"/>
        </w:rPr>
        <w:t xml:space="preserve"> all of whom have their own national collective bargaining </w:t>
      </w:r>
      <w:r w:rsidR="00C95D49" w:rsidRPr="279A07B5">
        <w:rPr>
          <w:rFonts w:ascii="Arial" w:hAnsi="Arial" w:cs="Arial"/>
          <w:lang w:eastAsia="en-GB"/>
        </w:rPr>
        <w:t>arrangements in respect of pay awards.</w:t>
      </w:r>
      <w:r w:rsidR="00D16A8F" w:rsidRPr="279A07B5">
        <w:rPr>
          <w:rFonts w:ascii="Arial" w:hAnsi="Arial" w:cs="Arial"/>
          <w:lang w:eastAsia="en-GB"/>
        </w:rPr>
        <w:t xml:space="preserve"> Therefore, while </w:t>
      </w:r>
      <w:r w:rsidR="001E5560" w:rsidRPr="279A07B5">
        <w:rPr>
          <w:rFonts w:ascii="Arial" w:hAnsi="Arial" w:cs="Arial"/>
          <w:lang w:eastAsia="en-GB"/>
        </w:rPr>
        <w:t>a</w:t>
      </w:r>
      <w:r w:rsidR="00CE1C72" w:rsidRPr="279A07B5">
        <w:rPr>
          <w:rFonts w:ascii="Arial" w:hAnsi="Arial" w:cs="Arial"/>
          <w:lang w:eastAsia="en-GB"/>
        </w:rPr>
        <w:t xml:space="preserve"> </w:t>
      </w:r>
      <w:r w:rsidR="001E5560" w:rsidRPr="279A07B5">
        <w:rPr>
          <w:rFonts w:ascii="Arial" w:hAnsi="Arial" w:cs="Arial"/>
          <w:lang w:eastAsia="en-GB"/>
        </w:rPr>
        <w:t>factor in pay considerations</w:t>
      </w:r>
      <w:r w:rsidR="00446D9F" w:rsidRPr="279A07B5">
        <w:rPr>
          <w:rFonts w:ascii="Arial" w:hAnsi="Arial" w:cs="Arial"/>
          <w:lang w:eastAsia="en-GB"/>
        </w:rPr>
        <w:t>,</w:t>
      </w:r>
      <w:r w:rsidR="001E5560" w:rsidRPr="279A07B5">
        <w:rPr>
          <w:rFonts w:ascii="Arial" w:hAnsi="Arial" w:cs="Arial"/>
          <w:lang w:eastAsia="en-GB"/>
        </w:rPr>
        <w:t xml:space="preserve"> it should not be assumed that the same approach will </w:t>
      </w:r>
      <w:r w:rsidR="00C57614" w:rsidRPr="279A07B5">
        <w:rPr>
          <w:rFonts w:ascii="Arial" w:hAnsi="Arial" w:cs="Arial"/>
          <w:lang w:eastAsia="en-GB"/>
        </w:rPr>
        <w:t xml:space="preserve">automatically </w:t>
      </w:r>
      <w:r w:rsidR="001E5560" w:rsidRPr="279A07B5">
        <w:rPr>
          <w:rFonts w:ascii="Arial" w:hAnsi="Arial" w:cs="Arial"/>
          <w:lang w:eastAsia="en-GB"/>
        </w:rPr>
        <w:t>apply.</w:t>
      </w:r>
    </w:p>
    <w:p w14:paraId="56AE6F1A" w14:textId="77777777" w:rsidR="003920C0" w:rsidRPr="00E54414" w:rsidRDefault="003920C0" w:rsidP="003920C0">
      <w:pPr>
        <w:pStyle w:val="ListParagraph"/>
        <w:spacing w:line="276" w:lineRule="auto"/>
        <w:ind w:left="567"/>
        <w:contextualSpacing/>
        <w:jc w:val="both"/>
        <w:rPr>
          <w:rFonts w:ascii="ArialMT" w:hAnsi="ArialMT" w:cs="ArialMT"/>
          <w:lang w:eastAsia="en-GB"/>
        </w:rPr>
      </w:pPr>
    </w:p>
    <w:p w14:paraId="4F98D5F4" w14:textId="7FBE9E5A" w:rsidR="00AD64CD" w:rsidRDefault="003920C0" w:rsidP="00563C7F">
      <w:pPr>
        <w:pStyle w:val="ListParagraph"/>
        <w:numPr>
          <w:ilvl w:val="0"/>
          <w:numId w:val="1"/>
        </w:numPr>
        <w:spacing w:line="276" w:lineRule="auto"/>
        <w:ind w:left="567" w:hanging="567"/>
        <w:contextualSpacing/>
        <w:jc w:val="both"/>
        <w:rPr>
          <w:rFonts w:ascii="Arial" w:hAnsi="Arial" w:cs="Arial"/>
          <w:lang w:eastAsia="en-GB"/>
        </w:rPr>
      </w:pPr>
      <w:r w:rsidRPr="49F2994D">
        <w:rPr>
          <w:rFonts w:ascii="Arial" w:hAnsi="Arial" w:cs="Arial"/>
          <w:lang w:eastAsia="en-GB"/>
        </w:rPr>
        <w:lastRenderedPageBreak/>
        <w:t xml:space="preserve">The only one of the three bodies to have </w:t>
      </w:r>
      <w:r w:rsidR="00C92813" w:rsidRPr="49F2994D">
        <w:rPr>
          <w:rFonts w:ascii="Arial" w:hAnsi="Arial" w:cs="Arial"/>
          <w:lang w:eastAsia="en-GB"/>
        </w:rPr>
        <w:t>yet r</w:t>
      </w:r>
      <w:r w:rsidRPr="49F2994D">
        <w:rPr>
          <w:rFonts w:ascii="Arial" w:hAnsi="Arial" w:cs="Arial"/>
          <w:lang w:eastAsia="en-GB"/>
        </w:rPr>
        <w:t xml:space="preserve">eceived a claim </w:t>
      </w:r>
      <w:r w:rsidR="00C92813" w:rsidRPr="49F2994D">
        <w:rPr>
          <w:rFonts w:ascii="Arial" w:hAnsi="Arial" w:cs="Arial"/>
          <w:lang w:eastAsia="en-GB"/>
        </w:rPr>
        <w:t xml:space="preserve">for 2021 is the </w:t>
      </w:r>
      <w:r w:rsidR="00ED4475" w:rsidRPr="49F2994D">
        <w:rPr>
          <w:rFonts w:ascii="Arial" w:hAnsi="Arial" w:cs="Arial"/>
          <w:lang w:eastAsia="en-GB"/>
        </w:rPr>
        <w:t>NJC for Local Government Services</w:t>
      </w:r>
      <w:r w:rsidR="00382F35" w:rsidRPr="49F2994D">
        <w:rPr>
          <w:rFonts w:ascii="Arial" w:hAnsi="Arial" w:cs="Arial"/>
          <w:lang w:eastAsia="en-GB"/>
        </w:rPr>
        <w:t xml:space="preserve"> (usual settlement date </w:t>
      </w:r>
      <w:r w:rsidR="00EF7D14" w:rsidRPr="49F2994D">
        <w:rPr>
          <w:rFonts w:ascii="Arial" w:hAnsi="Arial" w:cs="Arial"/>
          <w:lang w:eastAsia="en-GB"/>
        </w:rPr>
        <w:t>1</w:t>
      </w:r>
      <w:r w:rsidR="00382F35" w:rsidRPr="49F2994D">
        <w:rPr>
          <w:rFonts w:ascii="Arial" w:hAnsi="Arial" w:cs="Arial"/>
          <w:lang w:eastAsia="en-GB"/>
        </w:rPr>
        <w:t xml:space="preserve"> April)</w:t>
      </w:r>
      <w:r w:rsidR="00D86F7E" w:rsidRPr="49F2994D">
        <w:rPr>
          <w:rFonts w:ascii="Arial" w:hAnsi="Arial" w:cs="Arial"/>
          <w:lang w:eastAsia="en-GB"/>
        </w:rPr>
        <w:t xml:space="preserve">. The </w:t>
      </w:r>
      <w:r w:rsidR="00AD64CD" w:rsidRPr="49F2994D">
        <w:rPr>
          <w:rFonts w:ascii="Arial" w:hAnsi="Arial" w:cs="Arial"/>
          <w:lang w:eastAsia="en-GB"/>
        </w:rPr>
        <w:t xml:space="preserve">very recently received </w:t>
      </w:r>
      <w:r w:rsidR="00B853D1" w:rsidRPr="49F2994D">
        <w:rPr>
          <w:rFonts w:ascii="Arial" w:hAnsi="Arial" w:cs="Arial"/>
          <w:lang w:eastAsia="en-GB"/>
        </w:rPr>
        <w:t>trade union side</w:t>
      </w:r>
      <w:r w:rsidR="00DD0BD1" w:rsidRPr="49F2994D">
        <w:rPr>
          <w:rFonts w:ascii="Arial" w:hAnsi="Arial" w:cs="Arial"/>
          <w:lang w:eastAsia="en-GB"/>
        </w:rPr>
        <w:t xml:space="preserve"> claim</w:t>
      </w:r>
      <w:r w:rsidR="00B853D1" w:rsidRPr="49F2994D">
        <w:rPr>
          <w:rFonts w:ascii="Arial" w:hAnsi="Arial" w:cs="Arial"/>
          <w:lang w:eastAsia="en-GB"/>
        </w:rPr>
        <w:t xml:space="preserve"> (Unison, </w:t>
      </w:r>
      <w:r w:rsidR="0EEA1ECB" w:rsidRPr="49F2994D">
        <w:rPr>
          <w:rFonts w:ascii="Arial" w:hAnsi="Arial" w:cs="Arial"/>
          <w:lang w:eastAsia="en-GB"/>
        </w:rPr>
        <w:t>U</w:t>
      </w:r>
      <w:r w:rsidR="00B853D1" w:rsidRPr="49F2994D">
        <w:rPr>
          <w:rFonts w:ascii="Arial" w:hAnsi="Arial" w:cs="Arial"/>
          <w:lang w:eastAsia="en-GB"/>
        </w:rPr>
        <w:t xml:space="preserve">nite and GMB) </w:t>
      </w:r>
      <w:r w:rsidR="00AD64CD" w:rsidRPr="49F2994D">
        <w:rPr>
          <w:rFonts w:ascii="Arial" w:hAnsi="Arial" w:cs="Arial"/>
          <w:lang w:eastAsia="en-GB"/>
        </w:rPr>
        <w:t xml:space="preserve">seeks: </w:t>
      </w:r>
    </w:p>
    <w:p w14:paraId="4ECDD0C4" w14:textId="77777777" w:rsidR="00EB1A84" w:rsidRPr="008169DB" w:rsidRDefault="00EB1A84" w:rsidP="00EB1A84">
      <w:pPr>
        <w:pStyle w:val="ListParagraph"/>
        <w:spacing w:line="276" w:lineRule="auto"/>
        <w:ind w:left="567"/>
        <w:contextualSpacing/>
        <w:jc w:val="both"/>
        <w:rPr>
          <w:rFonts w:ascii="Arial" w:hAnsi="Arial" w:cs="Arial"/>
          <w:lang w:eastAsia="en-GB"/>
        </w:rPr>
      </w:pPr>
    </w:p>
    <w:p w14:paraId="647ED972" w14:textId="77777777" w:rsidR="003E42E4" w:rsidRPr="002A27E6" w:rsidRDefault="003E42E4" w:rsidP="00BA4DB9">
      <w:pPr>
        <w:pStyle w:val="ListParagraph"/>
        <w:spacing w:line="276" w:lineRule="auto"/>
        <w:ind w:left="1276" w:hanging="283"/>
        <w:contextualSpacing/>
        <w:jc w:val="both"/>
        <w:rPr>
          <w:rFonts w:ascii="Arial" w:hAnsi="Arial" w:cs="Arial"/>
          <w:lang w:eastAsia="en-GB"/>
        </w:rPr>
      </w:pPr>
      <w:r w:rsidRPr="002A27E6">
        <w:rPr>
          <w:rFonts w:ascii="Arial" w:hAnsi="Arial" w:cs="Arial"/>
          <w:lang w:eastAsia="en-GB"/>
        </w:rPr>
        <w:t>•</w:t>
      </w:r>
      <w:r w:rsidRPr="002A27E6">
        <w:rPr>
          <w:rFonts w:ascii="Arial" w:hAnsi="Arial" w:cs="Arial"/>
          <w:lang w:eastAsia="en-GB"/>
        </w:rPr>
        <w:tab/>
        <w:t>A substantial increase with a minimum of 10% on all spinal column points</w:t>
      </w:r>
    </w:p>
    <w:p w14:paraId="7168D4E2" w14:textId="77777777" w:rsidR="003E42E4" w:rsidRPr="002A27E6" w:rsidRDefault="003E42E4" w:rsidP="00BA4DB9">
      <w:pPr>
        <w:pStyle w:val="ListParagraph"/>
        <w:spacing w:line="276" w:lineRule="auto"/>
        <w:ind w:left="1276" w:hanging="283"/>
        <w:contextualSpacing/>
        <w:jc w:val="both"/>
        <w:rPr>
          <w:rFonts w:ascii="Arial" w:hAnsi="Arial" w:cs="Arial"/>
          <w:lang w:eastAsia="en-GB"/>
        </w:rPr>
      </w:pPr>
      <w:r w:rsidRPr="002A27E6">
        <w:rPr>
          <w:rFonts w:ascii="Arial" w:hAnsi="Arial" w:cs="Arial"/>
          <w:lang w:eastAsia="en-GB"/>
        </w:rPr>
        <w:t>•</w:t>
      </w:r>
      <w:r w:rsidRPr="002A27E6">
        <w:rPr>
          <w:rFonts w:ascii="Arial" w:hAnsi="Arial" w:cs="Arial"/>
          <w:lang w:eastAsia="en-GB"/>
        </w:rPr>
        <w:tab/>
        <w:t>Introduction of a homeworking allowance for all staff who are working from home</w:t>
      </w:r>
    </w:p>
    <w:p w14:paraId="5DBBE693" w14:textId="77777777" w:rsidR="003E42E4" w:rsidRPr="002A27E6" w:rsidRDefault="003E42E4" w:rsidP="00BA4DB9">
      <w:pPr>
        <w:pStyle w:val="ListParagraph"/>
        <w:spacing w:line="276" w:lineRule="auto"/>
        <w:ind w:left="1276" w:hanging="283"/>
        <w:contextualSpacing/>
        <w:jc w:val="both"/>
        <w:rPr>
          <w:rFonts w:ascii="Arial" w:hAnsi="Arial" w:cs="Arial"/>
          <w:lang w:eastAsia="en-GB"/>
        </w:rPr>
      </w:pPr>
      <w:r w:rsidRPr="002A27E6">
        <w:rPr>
          <w:rFonts w:ascii="Arial" w:hAnsi="Arial" w:cs="Arial"/>
          <w:lang w:eastAsia="en-GB"/>
        </w:rPr>
        <w:t>•</w:t>
      </w:r>
      <w:r w:rsidRPr="002A27E6">
        <w:rPr>
          <w:rFonts w:ascii="Arial" w:hAnsi="Arial" w:cs="Arial"/>
          <w:lang w:eastAsia="en-GB"/>
        </w:rPr>
        <w:tab/>
        <w:t>A national minimum agreement on homeworking policies for all councils</w:t>
      </w:r>
    </w:p>
    <w:p w14:paraId="0C8974A4" w14:textId="77777777" w:rsidR="003E42E4" w:rsidRPr="002A27E6" w:rsidRDefault="003E42E4" w:rsidP="00BA4DB9">
      <w:pPr>
        <w:pStyle w:val="ListParagraph"/>
        <w:spacing w:line="276" w:lineRule="auto"/>
        <w:ind w:left="1276" w:hanging="283"/>
        <w:contextualSpacing/>
        <w:jc w:val="both"/>
        <w:rPr>
          <w:rFonts w:ascii="Arial" w:hAnsi="Arial" w:cs="Arial"/>
          <w:lang w:eastAsia="en-GB"/>
        </w:rPr>
      </w:pPr>
      <w:r w:rsidRPr="002A27E6">
        <w:rPr>
          <w:rFonts w:ascii="Arial" w:hAnsi="Arial" w:cs="Arial"/>
          <w:lang w:eastAsia="en-GB"/>
        </w:rPr>
        <w:t>•</w:t>
      </w:r>
      <w:r w:rsidRPr="002A27E6">
        <w:rPr>
          <w:rFonts w:ascii="Arial" w:hAnsi="Arial" w:cs="Arial"/>
          <w:lang w:eastAsia="en-GB"/>
        </w:rPr>
        <w:tab/>
        <w:t>A reduction of the working week to 35 hours with no loss of pay, and a reduction to 34 hours a week in London. Part-time staff to be given a choice of a pro rata reduction, or retaining the same hours and being paid a higher percentage of FTE</w:t>
      </w:r>
    </w:p>
    <w:p w14:paraId="104C65E3" w14:textId="77777777" w:rsidR="003E42E4" w:rsidRPr="002A27E6" w:rsidRDefault="003E42E4" w:rsidP="00BA4DB9">
      <w:pPr>
        <w:pStyle w:val="ListParagraph"/>
        <w:spacing w:line="276" w:lineRule="auto"/>
        <w:ind w:left="1276" w:hanging="283"/>
        <w:contextualSpacing/>
        <w:jc w:val="both"/>
        <w:rPr>
          <w:rFonts w:ascii="Arial" w:hAnsi="Arial" w:cs="Arial"/>
          <w:lang w:eastAsia="en-GB"/>
        </w:rPr>
      </w:pPr>
      <w:r w:rsidRPr="002A27E6">
        <w:rPr>
          <w:rFonts w:ascii="Arial" w:hAnsi="Arial" w:cs="Arial"/>
          <w:lang w:eastAsia="en-GB"/>
        </w:rPr>
        <w:t>•</w:t>
      </w:r>
      <w:r w:rsidRPr="002A27E6">
        <w:rPr>
          <w:rFonts w:ascii="Arial" w:hAnsi="Arial" w:cs="Arial"/>
          <w:lang w:eastAsia="en-GB"/>
        </w:rPr>
        <w:tab/>
        <w:t>A minimum of 25 days annual leave, plus public holidays and statutory days, for all starting employees, plus an extra day holiday on all other holiday rates that depend on service</w:t>
      </w:r>
    </w:p>
    <w:p w14:paraId="5DED72AE" w14:textId="77777777" w:rsidR="003E42E4" w:rsidRPr="002A27E6" w:rsidRDefault="003E42E4" w:rsidP="00BA4DB9">
      <w:pPr>
        <w:pStyle w:val="ListParagraph"/>
        <w:spacing w:line="276" w:lineRule="auto"/>
        <w:ind w:left="1276" w:hanging="283"/>
        <w:contextualSpacing/>
        <w:jc w:val="both"/>
        <w:rPr>
          <w:rFonts w:ascii="Arial" w:hAnsi="Arial" w:cs="Arial"/>
          <w:lang w:eastAsia="en-GB"/>
        </w:rPr>
      </w:pPr>
      <w:r w:rsidRPr="002A27E6">
        <w:rPr>
          <w:rFonts w:ascii="Arial" w:hAnsi="Arial" w:cs="Arial"/>
          <w:lang w:eastAsia="en-GB"/>
        </w:rPr>
        <w:t>•</w:t>
      </w:r>
      <w:r w:rsidRPr="002A27E6">
        <w:rPr>
          <w:rFonts w:ascii="Arial" w:hAnsi="Arial" w:cs="Arial"/>
          <w:lang w:eastAsia="en-GB"/>
        </w:rPr>
        <w:tab/>
        <w:t>An agreement on a best practice national programme of mental health support for all local authorities and school staff</w:t>
      </w:r>
    </w:p>
    <w:p w14:paraId="79556668" w14:textId="77777777" w:rsidR="003E42E4" w:rsidRPr="002A27E6" w:rsidRDefault="003E42E4" w:rsidP="00BA4DB9">
      <w:pPr>
        <w:pStyle w:val="ListParagraph"/>
        <w:spacing w:line="276" w:lineRule="auto"/>
        <w:ind w:left="1276" w:hanging="283"/>
        <w:contextualSpacing/>
        <w:jc w:val="both"/>
        <w:rPr>
          <w:rFonts w:ascii="Arial" w:hAnsi="Arial" w:cs="Arial"/>
          <w:lang w:eastAsia="en-GB"/>
        </w:rPr>
      </w:pPr>
      <w:r w:rsidRPr="002A27E6">
        <w:rPr>
          <w:rFonts w:ascii="Arial" w:hAnsi="Arial" w:cs="Arial"/>
          <w:lang w:eastAsia="en-GB"/>
        </w:rPr>
        <w:t>•</w:t>
      </w:r>
      <w:r w:rsidRPr="002A27E6">
        <w:rPr>
          <w:rFonts w:ascii="Arial" w:hAnsi="Arial" w:cs="Arial"/>
          <w:lang w:eastAsia="en-GB"/>
        </w:rPr>
        <w:tab/>
        <w:t>A joint review of job descriptions, routes for career developments and pay banding for school support staff, and completion of the outstanding work of the joint term-time only review group</w:t>
      </w:r>
    </w:p>
    <w:p w14:paraId="10851334" w14:textId="5C46A4E2" w:rsidR="00AD64CD" w:rsidRPr="002A27E6" w:rsidRDefault="003E42E4" w:rsidP="00BA4DB9">
      <w:pPr>
        <w:pStyle w:val="ListParagraph"/>
        <w:spacing w:line="276" w:lineRule="auto"/>
        <w:ind w:left="1276" w:hanging="283"/>
        <w:contextualSpacing/>
        <w:jc w:val="both"/>
        <w:rPr>
          <w:rFonts w:ascii="Arial" w:hAnsi="Arial" w:cs="Arial"/>
          <w:lang w:eastAsia="en-GB"/>
        </w:rPr>
      </w:pPr>
      <w:r w:rsidRPr="002A27E6">
        <w:rPr>
          <w:rFonts w:ascii="Arial" w:hAnsi="Arial" w:cs="Arial"/>
          <w:lang w:eastAsia="en-GB"/>
        </w:rPr>
        <w:t>•</w:t>
      </w:r>
      <w:r w:rsidRPr="002A27E6">
        <w:rPr>
          <w:rFonts w:ascii="Arial" w:hAnsi="Arial" w:cs="Arial"/>
          <w:lang w:eastAsia="en-GB"/>
        </w:rPr>
        <w:tab/>
        <w:t>A joint review of the provisions in the Green Book for maternity / paternity / shared parental / adoption leave</w:t>
      </w:r>
    </w:p>
    <w:p w14:paraId="00FA9C73" w14:textId="77777777" w:rsidR="00EF7D14" w:rsidRDefault="00EF7D14" w:rsidP="00EF7D14">
      <w:pPr>
        <w:pStyle w:val="ListParagraph"/>
        <w:spacing w:line="276" w:lineRule="auto"/>
        <w:ind w:left="567"/>
        <w:contextualSpacing/>
        <w:jc w:val="both"/>
        <w:rPr>
          <w:rFonts w:ascii="Arial" w:hAnsi="Arial" w:cs="Arial"/>
          <w:lang w:eastAsia="en-GB"/>
        </w:rPr>
      </w:pPr>
    </w:p>
    <w:p w14:paraId="40F4FCA4" w14:textId="72A223CF" w:rsidR="0020724A" w:rsidRDefault="00E073D8" w:rsidP="0020724A">
      <w:pPr>
        <w:pStyle w:val="ListParagraph"/>
        <w:numPr>
          <w:ilvl w:val="0"/>
          <w:numId w:val="1"/>
        </w:numPr>
        <w:ind w:left="567" w:hanging="567"/>
        <w:jc w:val="both"/>
        <w:rPr>
          <w:rFonts w:ascii="Arial" w:hAnsi="Arial" w:cs="Arial"/>
          <w:lang w:eastAsia="en-GB"/>
        </w:rPr>
      </w:pPr>
      <w:r w:rsidRPr="49F2994D">
        <w:rPr>
          <w:rFonts w:ascii="Arial" w:hAnsi="Arial" w:cs="Arial"/>
          <w:lang w:eastAsia="en-GB"/>
        </w:rPr>
        <w:t xml:space="preserve">Councils </w:t>
      </w:r>
      <w:r w:rsidR="005565B8" w:rsidRPr="49F2994D">
        <w:rPr>
          <w:rFonts w:ascii="Arial" w:hAnsi="Arial" w:cs="Arial"/>
          <w:lang w:eastAsia="en-GB"/>
        </w:rPr>
        <w:t xml:space="preserve">across England, Wales and Northern Ireland </w:t>
      </w:r>
      <w:r w:rsidRPr="49F2994D">
        <w:rPr>
          <w:rFonts w:ascii="Arial" w:hAnsi="Arial" w:cs="Arial"/>
          <w:lang w:eastAsia="en-GB"/>
        </w:rPr>
        <w:t xml:space="preserve">will be consulted during March at the usual round of </w:t>
      </w:r>
      <w:r w:rsidR="0019379B" w:rsidRPr="49F2994D">
        <w:rPr>
          <w:rFonts w:ascii="Arial" w:hAnsi="Arial" w:cs="Arial"/>
          <w:lang w:eastAsia="en-GB"/>
        </w:rPr>
        <w:t xml:space="preserve">(now </w:t>
      </w:r>
      <w:r w:rsidRPr="49F2994D">
        <w:rPr>
          <w:rFonts w:ascii="Arial" w:hAnsi="Arial" w:cs="Arial"/>
          <w:lang w:eastAsia="en-GB"/>
        </w:rPr>
        <w:t>virtual</w:t>
      </w:r>
      <w:r w:rsidR="0019379B" w:rsidRPr="49F2994D">
        <w:rPr>
          <w:rFonts w:ascii="Arial" w:hAnsi="Arial" w:cs="Arial"/>
          <w:lang w:eastAsia="en-GB"/>
        </w:rPr>
        <w:t>)</w:t>
      </w:r>
      <w:r w:rsidRPr="49F2994D">
        <w:rPr>
          <w:rFonts w:ascii="Arial" w:hAnsi="Arial" w:cs="Arial"/>
          <w:lang w:eastAsia="en-GB"/>
        </w:rPr>
        <w:t xml:space="preserve"> regional pay consultation briefings. The National Employers will then consider feedback from those events before responding formally to the unions</w:t>
      </w:r>
      <w:r w:rsidR="00832EB2" w:rsidRPr="49F2994D">
        <w:rPr>
          <w:rFonts w:ascii="Arial" w:hAnsi="Arial" w:cs="Arial"/>
          <w:lang w:eastAsia="en-GB"/>
        </w:rPr>
        <w:t xml:space="preserve">, which </w:t>
      </w:r>
      <w:r w:rsidR="48D8D045" w:rsidRPr="49F2994D">
        <w:rPr>
          <w:rFonts w:ascii="Arial" w:hAnsi="Arial" w:cs="Arial"/>
          <w:lang w:eastAsia="en-GB"/>
        </w:rPr>
        <w:t>will be</w:t>
      </w:r>
      <w:r w:rsidR="00832EB2" w:rsidRPr="49F2994D">
        <w:rPr>
          <w:rFonts w:ascii="Arial" w:hAnsi="Arial" w:cs="Arial"/>
          <w:lang w:eastAsia="en-GB"/>
        </w:rPr>
        <w:t xml:space="preserve"> </w:t>
      </w:r>
      <w:r w:rsidR="00FA3342" w:rsidRPr="49F2994D">
        <w:rPr>
          <w:rFonts w:ascii="Arial" w:hAnsi="Arial" w:cs="Arial"/>
          <w:lang w:eastAsia="en-GB"/>
        </w:rPr>
        <w:t xml:space="preserve">after the </w:t>
      </w:r>
      <w:r w:rsidR="2D504E7A" w:rsidRPr="49F2994D">
        <w:rPr>
          <w:rFonts w:ascii="Arial" w:hAnsi="Arial" w:cs="Arial"/>
          <w:lang w:eastAsia="en-GB"/>
        </w:rPr>
        <w:t xml:space="preserve">local </w:t>
      </w:r>
      <w:r w:rsidR="00FA3342" w:rsidRPr="49F2994D">
        <w:rPr>
          <w:rFonts w:ascii="Arial" w:hAnsi="Arial" w:cs="Arial"/>
          <w:lang w:eastAsia="en-GB"/>
        </w:rPr>
        <w:t>elections in May</w:t>
      </w:r>
      <w:r w:rsidR="00920A9C" w:rsidRPr="49F2994D">
        <w:rPr>
          <w:rFonts w:ascii="Arial" w:hAnsi="Arial" w:cs="Arial"/>
          <w:lang w:eastAsia="en-GB"/>
        </w:rPr>
        <w:t>.</w:t>
      </w:r>
      <w:r w:rsidR="00FA3342" w:rsidRPr="49F2994D">
        <w:rPr>
          <w:rFonts w:ascii="Arial" w:hAnsi="Arial" w:cs="Arial"/>
          <w:lang w:eastAsia="en-GB"/>
        </w:rPr>
        <w:t xml:space="preserve"> </w:t>
      </w:r>
      <w:r w:rsidR="0048491B" w:rsidRPr="49F2994D">
        <w:rPr>
          <w:rFonts w:ascii="Arial" w:hAnsi="Arial" w:cs="Arial"/>
          <w:lang w:eastAsia="en-GB"/>
        </w:rPr>
        <w:t xml:space="preserve"> </w:t>
      </w:r>
    </w:p>
    <w:p w14:paraId="3E3F99B2" w14:textId="77777777" w:rsidR="006531EE" w:rsidRDefault="006531EE" w:rsidP="006531EE">
      <w:pPr>
        <w:pStyle w:val="ListParagraph"/>
        <w:ind w:left="567"/>
        <w:jc w:val="both"/>
        <w:rPr>
          <w:rFonts w:ascii="Arial" w:hAnsi="Arial" w:cs="Arial"/>
          <w:lang w:eastAsia="en-GB"/>
        </w:rPr>
      </w:pPr>
    </w:p>
    <w:p w14:paraId="4D13CEF8" w14:textId="28CC9A48" w:rsidR="006531EE" w:rsidRDefault="006531EE" w:rsidP="0020724A">
      <w:pPr>
        <w:pStyle w:val="ListParagraph"/>
        <w:numPr>
          <w:ilvl w:val="0"/>
          <w:numId w:val="1"/>
        </w:numPr>
        <w:ind w:left="567" w:hanging="567"/>
        <w:jc w:val="both"/>
        <w:rPr>
          <w:rFonts w:ascii="Arial" w:hAnsi="Arial" w:cs="Arial"/>
          <w:lang w:eastAsia="en-GB"/>
        </w:rPr>
      </w:pPr>
      <w:r>
        <w:rPr>
          <w:rFonts w:ascii="Arial" w:hAnsi="Arial" w:cs="Arial"/>
          <w:lang w:eastAsia="en-GB"/>
        </w:rPr>
        <w:t xml:space="preserve">As far as the NJC for Local </w:t>
      </w:r>
      <w:r w:rsidR="003B55AF">
        <w:rPr>
          <w:rFonts w:ascii="Arial" w:hAnsi="Arial" w:cs="Arial"/>
          <w:lang w:eastAsia="en-GB"/>
        </w:rPr>
        <w:t>A</w:t>
      </w:r>
      <w:r>
        <w:rPr>
          <w:rFonts w:ascii="Arial" w:hAnsi="Arial" w:cs="Arial"/>
          <w:lang w:eastAsia="en-GB"/>
        </w:rPr>
        <w:t xml:space="preserve">uthority Fire and Rescue Services (Grey Book) is concerned </w:t>
      </w:r>
      <w:r w:rsidR="003B55AF">
        <w:rPr>
          <w:rFonts w:ascii="Arial" w:hAnsi="Arial" w:cs="Arial"/>
          <w:lang w:eastAsia="en-GB"/>
        </w:rPr>
        <w:t xml:space="preserve">the usual </w:t>
      </w:r>
      <w:r w:rsidR="00011C25">
        <w:rPr>
          <w:rFonts w:ascii="Arial" w:hAnsi="Arial" w:cs="Arial"/>
          <w:lang w:eastAsia="en-GB"/>
        </w:rPr>
        <w:t xml:space="preserve">pay award </w:t>
      </w:r>
      <w:r w:rsidR="003B55AF">
        <w:rPr>
          <w:rFonts w:ascii="Arial" w:hAnsi="Arial" w:cs="Arial"/>
          <w:lang w:eastAsia="en-GB"/>
        </w:rPr>
        <w:t>settlement date is not until 1 July</w:t>
      </w:r>
      <w:r w:rsidR="00D21DE1">
        <w:rPr>
          <w:rFonts w:ascii="Arial" w:hAnsi="Arial" w:cs="Arial"/>
          <w:lang w:eastAsia="en-GB"/>
        </w:rPr>
        <w:t xml:space="preserve">. </w:t>
      </w:r>
      <w:r w:rsidR="009811D9">
        <w:rPr>
          <w:rFonts w:ascii="Arial" w:hAnsi="Arial" w:cs="Arial"/>
          <w:lang w:eastAsia="en-GB"/>
        </w:rPr>
        <w:t xml:space="preserve">General informal discussions have commenced which to date </w:t>
      </w:r>
      <w:r w:rsidR="009811D9" w:rsidRPr="009811D9">
        <w:rPr>
          <w:rFonts w:ascii="Arial" w:hAnsi="Arial" w:cs="Arial"/>
          <w:color w:val="000000"/>
          <w:lang w:eastAsia="en-GB"/>
        </w:rPr>
        <w:t xml:space="preserve">have largely focused on issues around pay structure with the employees’ side raising matters such as the current </w:t>
      </w:r>
      <w:r w:rsidR="009811D9" w:rsidRPr="009811D9">
        <w:rPr>
          <w:rFonts w:ascii="Arial" w:hAnsi="Arial" w:cs="Arial"/>
          <w:color w:val="000000"/>
          <w:lang w:val="en-US" w:eastAsia="en-GB"/>
        </w:rPr>
        <w:t xml:space="preserve">flat pay structure, period from trainee to competent and the Continual Professional Development scheme. </w:t>
      </w:r>
      <w:r w:rsidR="004352B8">
        <w:rPr>
          <w:rFonts w:ascii="Arial" w:hAnsi="Arial" w:cs="Arial"/>
          <w:lang w:eastAsia="en-GB"/>
        </w:rPr>
        <w:t xml:space="preserve">  </w:t>
      </w:r>
    </w:p>
    <w:p w14:paraId="118CE903" w14:textId="77777777" w:rsidR="0020724A" w:rsidRDefault="0020724A" w:rsidP="0020724A">
      <w:pPr>
        <w:pStyle w:val="ListParagraph"/>
        <w:ind w:left="567" w:hanging="567"/>
        <w:jc w:val="both"/>
        <w:rPr>
          <w:rFonts w:ascii="Arial" w:hAnsi="Arial" w:cs="Arial"/>
          <w:lang w:eastAsia="en-GB"/>
        </w:rPr>
      </w:pPr>
    </w:p>
    <w:p w14:paraId="7B02385E" w14:textId="6D996E44" w:rsidR="0020724A" w:rsidRDefault="00641B23" w:rsidP="0020724A">
      <w:pPr>
        <w:pStyle w:val="ListParagraph"/>
        <w:ind w:left="567" w:hanging="567"/>
        <w:rPr>
          <w:rFonts w:ascii="Arial" w:hAnsi="Arial" w:cs="Arial"/>
          <w:b/>
          <w:iCs/>
          <w:lang w:eastAsia="en-GB"/>
        </w:rPr>
      </w:pPr>
      <w:r w:rsidRPr="007C737D">
        <w:rPr>
          <w:rFonts w:ascii="Arial" w:hAnsi="Arial" w:cs="Arial"/>
          <w:b/>
          <w:iCs/>
          <w:lang w:eastAsia="en-GB"/>
        </w:rPr>
        <w:t xml:space="preserve">LGA and NFCC Core Code of Ethics </w:t>
      </w:r>
    </w:p>
    <w:p w14:paraId="322828A1" w14:textId="49AB8121" w:rsidR="00C23FB7" w:rsidRDefault="00C23FB7" w:rsidP="0020724A">
      <w:pPr>
        <w:pStyle w:val="ListParagraph"/>
        <w:ind w:left="567" w:hanging="567"/>
        <w:rPr>
          <w:rFonts w:ascii="Arial" w:hAnsi="Arial" w:cs="Arial"/>
          <w:b/>
          <w:iCs/>
          <w:lang w:eastAsia="en-GB"/>
        </w:rPr>
      </w:pPr>
    </w:p>
    <w:p w14:paraId="5385A441" w14:textId="603E1920" w:rsidR="00C23FB7" w:rsidRPr="00F77B8B" w:rsidRDefault="00F77B8B" w:rsidP="0020724A">
      <w:pPr>
        <w:pStyle w:val="ListParagraph"/>
        <w:ind w:left="567" w:hanging="567"/>
        <w:rPr>
          <w:rFonts w:ascii="Arial" w:hAnsi="Arial" w:cs="Arial"/>
          <w:bCs/>
          <w:iCs/>
          <w:u w:val="single"/>
          <w:lang w:eastAsia="en-GB"/>
        </w:rPr>
      </w:pPr>
      <w:r w:rsidRPr="00F77B8B">
        <w:rPr>
          <w:rFonts w:ascii="Arial" w:hAnsi="Arial" w:cs="Arial"/>
          <w:bCs/>
          <w:iCs/>
          <w:u w:val="single"/>
          <w:lang w:eastAsia="en-GB"/>
        </w:rPr>
        <w:t>Background</w:t>
      </w:r>
    </w:p>
    <w:p w14:paraId="1F3966A3" w14:textId="77777777" w:rsidR="0020724A" w:rsidRPr="00906BFF" w:rsidRDefault="0020724A" w:rsidP="0020724A">
      <w:pPr>
        <w:pStyle w:val="ListParagraph"/>
        <w:ind w:left="567" w:hanging="567"/>
        <w:rPr>
          <w:rFonts w:ascii="Arial" w:hAnsi="Arial" w:cs="Arial"/>
          <w:lang w:eastAsia="en-GB"/>
        </w:rPr>
      </w:pPr>
    </w:p>
    <w:p w14:paraId="458216C1" w14:textId="4E79092C" w:rsidR="00BF1A06" w:rsidRDefault="00BE2DC0" w:rsidP="004D4C33">
      <w:pPr>
        <w:pStyle w:val="ListParagraph"/>
        <w:numPr>
          <w:ilvl w:val="0"/>
          <w:numId w:val="1"/>
        </w:numPr>
        <w:spacing w:line="276" w:lineRule="auto"/>
        <w:ind w:left="567" w:hanging="567"/>
        <w:contextualSpacing/>
        <w:jc w:val="both"/>
        <w:rPr>
          <w:rFonts w:ascii="Arial" w:hAnsi="Arial" w:cs="Arial"/>
          <w:lang w:eastAsia="en-GB"/>
        </w:rPr>
      </w:pPr>
      <w:r w:rsidRPr="00BF1A06">
        <w:rPr>
          <w:rFonts w:ascii="Arial" w:hAnsi="Arial" w:cs="Arial"/>
          <w:lang w:eastAsia="en-GB"/>
        </w:rPr>
        <w:t xml:space="preserve">The HMICFRS </w:t>
      </w:r>
      <w:r w:rsidR="00BA3E5A" w:rsidRPr="00BA3E5A">
        <w:rPr>
          <w:rFonts w:ascii="Arial" w:hAnsi="Arial" w:cs="Arial"/>
          <w:lang w:eastAsia="en-GB"/>
        </w:rPr>
        <w:t>State of Fire &amp; Rescue report 2019 recommended that by December 2020, the Local Government Association</w:t>
      </w:r>
      <w:r w:rsidR="00792A02" w:rsidRPr="00792A02">
        <w:rPr>
          <w:rFonts w:ascii="Arial" w:hAnsi="Arial" w:cs="Arial"/>
          <w:lang w:eastAsia="en-GB"/>
        </w:rPr>
        <w:t xml:space="preserve"> </w:t>
      </w:r>
      <w:r w:rsidR="00792A02">
        <w:rPr>
          <w:rFonts w:ascii="Arial" w:hAnsi="Arial" w:cs="Arial"/>
          <w:lang w:eastAsia="en-GB"/>
        </w:rPr>
        <w:t xml:space="preserve">and </w:t>
      </w:r>
      <w:r w:rsidR="00792A02" w:rsidRPr="00BA3E5A">
        <w:rPr>
          <w:rFonts w:ascii="Arial" w:hAnsi="Arial" w:cs="Arial"/>
          <w:lang w:eastAsia="en-GB"/>
        </w:rPr>
        <w:t xml:space="preserve">the National Fire Chiefs Council, </w:t>
      </w:r>
      <w:r w:rsidR="00BA3E5A" w:rsidRPr="00BA3E5A">
        <w:rPr>
          <w:rFonts w:ascii="Arial" w:hAnsi="Arial" w:cs="Arial"/>
          <w:lang w:eastAsia="en-GB"/>
        </w:rPr>
        <w:t xml:space="preserve">should produce a Code of Ethics for fire and rescue services, which should be adopted by every service in England. </w:t>
      </w:r>
    </w:p>
    <w:p w14:paraId="329029BD" w14:textId="77777777" w:rsidR="00BF1A06" w:rsidRDefault="00BF1A06" w:rsidP="00BF1A06">
      <w:pPr>
        <w:pStyle w:val="ListParagraph"/>
        <w:spacing w:line="276" w:lineRule="auto"/>
        <w:ind w:left="567"/>
        <w:contextualSpacing/>
        <w:jc w:val="both"/>
        <w:rPr>
          <w:rFonts w:ascii="Arial" w:hAnsi="Arial" w:cs="Arial"/>
          <w:lang w:eastAsia="en-GB"/>
        </w:rPr>
      </w:pPr>
    </w:p>
    <w:p w14:paraId="14E86D4A" w14:textId="5BFE6411" w:rsidR="00880D8D" w:rsidRDefault="00BA3E5A" w:rsidP="00BA3E5A">
      <w:pPr>
        <w:pStyle w:val="ListParagraph"/>
        <w:numPr>
          <w:ilvl w:val="0"/>
          <w:numId w:val="1"/>
        </w:numPr>
        <w:spacing w:line="276" w:lineRule="auto"/>
        <w:ind w:left="567" w:hanging="567"/>
        <w:contextualSpacing/>
        <w:jc w:val="both"/>
        <w:rPr>
          <w:rFonts w:ascii="Arial" w:hAnsi="Arial" w:cs="Arial"/>
          <w:lang w:eastAsia="en-GB"/>
        </w:rPr>
      </w:pPr>
      <w:r w:rsidRPr="00BA3E5A">
        <w:rPr>
          <w:rFonts w:ascii="Arial" w:hAnsi="Arial" w:cs="Arial"/>
          <w:lang w:eastAsia="en-GB"/>
        </w:rPr>
        <w:t>In initial feedback to HMICFRS, both the National Fire Chiefs Council (NFCC) and the Local Government Association (</w:t>
      </w:r>
      <w:r w:rsidR="00F14C3A">
        <w:rPr>
          <w:rFonts w:ascii="Arial" w:hAnsi="Arial" w:cs="Arial"/>
          <w:lang w:eastAsia="en-GB"/>
        </w:rPr>
        <w:t>following discussion with members</w:t>
      </w:r>
      <w:r w:rsidRPr="00BA3E5A">
        <w:rPr>
          <w:rFonts w:ascii="Arial" w:hAnsi="Arial" w:cs="Arial"/>
          <w:lang w:eastAsia="en-GB"/>
        </w:rPr>
        <w:t xml:space="preserve">) indicated the potentially </w:t>
      </w:r>
      <w:r w:rsidRPr="00BA3E5A">
        <w:rPr>
          <w:rFonts w:ascii="Arial" w:hAnsi="Arial" w:cs="Arial"/>
          <w:lang w:eastAsia="en-GB"/>
        </w:rPr>
        <w:lastRenderedPageBreak/>
        <w:t xml:space="preserve">inadvertent difficulty in imposing a single prescriptive code, with no local flexibility, upon FRAs and FRSs. There should </w:t>
      </w:r>
      <w:r w:rsidR="00234B4D">
        <w:rPr>
          <w:rFonts w:ascii="Arial" w:hAnsi="Arial" w:cs="Arial"/>
          <w:lang w:eastAsia="en-GB"/>
        </w:rPr>
        <w:t xml:space="preserve">also </w:t>
      </w:r>
      <w:r w:rsidRPr="00BA3E5A">
        <w:rPr>
          <w:rFonts w:ascii="Arial" w:hAnsi="Arial" w:cs="Arial"/>
          <w:lang w:eastAsia="en-GB"/>
        </w:rPr>
        <w:t xml:space="preserve">be recognition that most services have an established ethical framework, and where these are well embedded, the culture has improved, compared with FRSs that had not embedded such frameworks. </w:t>
      </w:r>
    </w:p>
    <w:p w14:paraId="33B57365" w14:textId="77777777" w:rsidR="00880D8D" w:rsidRPr="00880D8D" w:rsidRDefault="00880D8D" w:rsidP="00880D8D">
      <w:pPr>
        <w:pStyle w:val="ListParagraph"/>
        <w:rPr>
          <w:rFonts w:ascii="Arial" w:hAnsi="Arial" w:cs="Arial"/>
          <w:lang w:eastAsia="en-GB"/>
        </w:rPr>
      </w:pPr>
    </w:p>
    <w:p w14:paraId="24BC482D" w14:textId="732C6128" w:rsidR="00BA3E5A" w:rsidRPr="00BA3E5A" w:rsidRDefault="009A489D" w:rsidP="004D4C33">
      <w:pPr>
        <w:pStyle w:val="ListParagraph"/>
        <w:numPr>
          <w:ilvl w:val="0"/>
          <w:numId w:val="1"/>
        </w:numPr>
        <w:spacing w:line="276" w:lineRule="auto"/>
        <w:ind w:left="567" w:hanging="567"/>
        <w:contextualSpacing/>
        <w:jc w:val="both"/>
        <w:rPr>
          <w:rFonts w:ascii="Arial" w:hAnsi="Arial" w:cs="Arial"/>
          <w:lang w:eastAsia="en-GB"/>
        </w:rPr>
      </w:pPr>
      <w:r>
        <w:rPr>
          <w:rFonts w:ascii="Arial" w:hAnsi="Arial" w:cs="Arial"/>
          <w:lang w:eastAsia="en-GB"/>
        </w:rPr>
        <w:t>A</w:t>
      </w:r>
      <w:r w:rsidR="00BA3E5A" w:rsidRPr="00D94DAF">
        <w:rPr>
          <w:rFonts w:ascii="Arial" w:hAnsi="Arial" w:cs="Arial"/>
          <w:lang w:eastAsia="en-GB"/>
        </w:rPr>
        <w:t>ccordingly,</w:t>
      </w:r>
      <w:r w:rsidR="006D7F66">
        <w:rPr>
          <w:rFonts w:ascii="Arial" w:hAnsi="Arial" w:cs="Arial"/>
          <w:lang w:eastAsia="en-GB"/>
        </w:rPr>
        <w:t xml:space="preserve"> joint </w:t>
      </w:r>
      <w:r w:rsidR="00BA3E5A" w:rsidRPr="00D94DAF">
        <w:rPr>
          <w:rFonts w:ascii="Arial" w:hAnsi="Arial" w:cs="Arial"/>
          <w:lang w:eastAsia="en-GB"/>
        </w:rPr>
        <w:t xml:space="preserve">work to respond to the recommendation focused on a Core Code of Ethics (Core Code), which reflects best practice principles and has been designed to underpin the way we serve our communities, carry out our role and work together. It is intended to become the common foundation across all services in England. However, </w:t>
      </w:r>
      <w:r w:rsidR="002077BF">
        <w:rPr>
          <w:rFonts w:ascii="Arial" w:hAnsi="Arial" w:cs="Arial"/>
          <w:lang w:eastAsia="en-GB"/>
        </w:rPr>
        <w:t xml:space="preserve">the Core Code approach </w:t>
      </w:r>
      <w:r w:rsidR="00BA3E5A" w:rsidRPr="00D94DAF">
        <w:rPr>
          <w:rFonts w:ascii="Arial" w:hAnsi="Arial" w:cs="Arial"/>
          <w:lang w:eastAsia="en-GB"/>
        </w:rPr>
        <w:t>recognise</w:t>
      </w:r>
      <w:r w:rsidR="002077BF">
        <w:rPr>
          <w:rFonts w:ascii="Arial" w:hAnsi="Arial" w:cs="Arial"/>
          <w:lang w:eastAsia="en-GB"/>
        </w:rPr>
        <w:t>s</w:t>
      </w:r>
      <w:r w:rsidR="00BA3E5A" w:rsidRPr="00D94DAF">
        <w:rPr>
          <w:rFonts w:ascii="Arial" w:hAnsi="Arial" w:cs="Arial"/>
          <w:lang w:eastAsia="en-GB"/>
        </w:rPr>
        <w:t xml:space="preserve"> the differing positions within FRSs currently</w:t>
      </w:r>
      <w:r w:rsidR="00C21178">
        <w:rPr>
          <w:rFonts w:ascii="Arial" w:hAnsi="Arial" w:cs="Arial"/>
          <w:lang w:eastAsia="en-GB"/>
        </w:rPr>
        <w:t>,</w:t>
      </w:r>
      <w:r w:rsidR="00BA3E5A" w:rsidRPr="00D94DAF">
        <w:rPr>
          <w:rFonts w:ascii="Arial" w:hAnsi="Arial" w:cs="Arial"/>
          <w:lang w:eastAsia="en-GB"/>
        </w:rPr>
        <w:t xml:space="preserve"> as well as differing governance arrangements</w:t>
      </w:r>
      <w:r w:rsidR="002077BF">
        <w:rPr>
          <w:rFonts w:ascii="Arial" w:hAnsi="Arial" w:cs="Arial"/>
          <w:lang w:eastAsia="en-GB"/>
        </w:rPr>
        <w:t xml:space="preserve">. </w:t>
      </w:r>
      <w:r w:rsidR="00963D09">
        <w:rPr>
          <w:rFonts w:ascii="Arial" w:hAnsi="Arial" w:cs="Arial"/>
          <w:lang w:eastAsia="en-GB"/>
        </w:rPr>
        <w:t>W</w:t>
      </w:r>
      <w:r w:rsidR="00BA3E5A" w:rsidRPr="00D94DAF">
        <w:rPr>
          <w:rFonts w:ascii="Arial" w:hAnsi="Arial" w:cs="Arial"/>
          <w:lang w:eastAsia="en-GB"/>
        </w:rPr>
        <w:t>hilst all the principles within the Core Code should be adopted and embedded within each FRS, it also has the flexibility to add to (but not detract from) those principles at local level. This will help local FRA</w:t>
      </w:r>
      <w:r w:rsidR="00D94DAF" w:rsidRPr="00D94DAF">
        <w:rPr>
          <w:rFonts w:ascii="Arial" w:hAnsi="Arial" w:cs="Arial"/>
          <w:lang w:eastAsia="en-GB"/>
        </w:rPr>
        <w:t>s</w:t>
      </w:r>
      <w:r w:rsidR="00BA3E5A" w:rsidRPr="00D94DAF">
        <w:rPr>
          <w:rFonts w:ascii="Arial" w:hAnsi="Arial" w:cs="Arial"/>
          <w:lang w:eastAsia="en-GB"/>
        </w:rPr>
        <w:t>/FRS</w:t>
      </w:r>
      <w:r w:rsidR="00D94DAF" w:rsidRPr="00D94DAF">
        <w:rPr>
          <w:rFonts w:ascii="Arial" w:hAnsi="Arial" w:cs="Arial"/>
          <w:lang w:eastAsia="en-GB"/>
        </w:rPr>
        <w:t>s</w:t>
      </w:r>
      <w:r w:rsidR="00BA3E5A" w:rsidRPr="00D94DAF">
        <w:rPr>
          <w:rFonts w:ascii="Arial" w:hAnsi="Arial" w:cs="Arial"/>
          <w:lang w:eastAsia="en-GB"/>
        </w:rPr>
        <w:t xml:space="preserve"> to reflect their local values, behaviours, and governance arrangement. </w:t>
      </w:r>
      <w:r w:rsidR="00BA3E5A" w:rsidRPr="00BA3E5A">
        <w:rPr>
          <w:rFonts w:ascii="Arial" w:hAnsi="Arial" w:cs="Arial"/>
          <w:lang w:eastAsia="en-GB"/>
        </w:rPr>
        <w:t xml:space="preserve">Examples include where: </w:t>
      </w:r>
    </w:p>
    <w:p w14:paraId="66299A45" w14:textId="1B085FBF" w:rsidR="00BA3E5A" w:rsidRPr="00E418D2" w:rsidRDefault="00BA3E5A" w:rsidP="00037817">
      <w:pPr>
        <w:pStyle w:val="ListParagraph"/>
        <w:numPr>
          <w:ilvl w:val="2"/>
          <w:numId w:val="1"/>
        </w:numPr>
        <w:spacing w:line="276" w:lineRule="auto"/>
        <w:ind w:left="1418" w:hanging="425"/>
        <w:contextualSpacing/>
        <w:jc w:val="both"/>
        <w:rPr>
          <w:rFonts w:ascii="Arial" w:hAnsi="Arial" w:cs="Arial"/>
          <w:lang w:eastAsia="en-GB"/>
        </w:rPr>
      </w:pPr>
      <w:r w:rsidRPr="00E418D2">
        <w:rPr>
          <w:rFonts w:ascii="Arial" w:hAnsi="Arial" w:cs="Arial"/>
          <w:lang w:eastAsia="en-GB"/>
        </w:rPr>
        <w:t xml:space="preserve">an FRS is part of a county council and is likely to still have obligations placed upon it to evidence it also complies with the council’s code. </w:t>
      </w:r>
    </w:p>
    <w:p w14:paraId="6510448C" w14:textId="034FD57A" w:rsidR="00BA3E5A" w:rsidRPr="00E418D2" w:rsidRDefault="00BA3E5A" w:rsidP="00037817">
      <w:pPr>
        <w:pStyle w:val="ListParagraph"/>
        <w:numPr>
          <w:ilvl w:val="2"/>
          <w:numId w:val="1"/>
        </w:numPr>
        <w:spacing w:line="276" w:lineRule="auto"/>
        <w:ind w:left="1418" w:hanging="425"/>
        <w:contextualSpacing/>
        <w:jc w:val="both"/>
        <w:rPr>
          <w:rFonts w:ascii="Arial" w:hAnsi="Arial" w:cs="Arial"/>
          <w:lang w:eastAsia="en-GB"/>
        </w:rPr>
      </w:pPr>
      <w:r w:rsidRPr="00E418D2">
        <w:rPr>
          <w:rFonts w:ascii="Arial" w:hAnsi="Arial" w:cs="Arial"/>
          <w:lang w:eastAsia="en-GB"/>
        </w:rPr>
        <w:t xml:space="preserve">an FRS has a well-developed local ethical framework and/or related policies, which should be reviewed against the Core Code. </w:t>
      </w:r>
    </w:p>
    <w:p w14:paraId="3C2295E3" w14:textId="77777777" w:rsidR="00BA3E5A" w:rsidRPr="00BA3E5A" w:rsidRDefault="00BA3E5A" w:rsidP="00BA3E5A">
      <w:pPr>
        <w:spacing w:line="276" w:lineRule="auto"/>
        <w:contextualSpacing/>
        <w:jc w:val="both"/>
        <w:rPr>
          <w:rFonts w:ascii="Arial" w:hAnsi="Arial" w:cs="Arial"/>
          <w:lang w:eastAsia="en-GB"/>
        </w:rPr>
      </w:pPr>
    </w:p>
    <w:p w14:paraId="4AAA7BE1" w14:textId="35404B47" w:rsidR="000D7CBD" w:rsidRDefault="00190FC0" w:rsidP="000F47E3">
      <w:pPr>
        <w:pStyle w:val="ListParagraph"/>
        <w:numPr>
          <w:ilvl w:val="0"/>
          <w:numId w:val="1"/>
        </w:numPr>
        <w:spacing w:line="276" w:lineRule="auto"/>
        <w:ind w:left="567" w:hanging="567"/>
        <w:contextualSpacing/>
        <w:jc w:val="both"/>
        <w:rPr>
          <w:rFonts w:ascii="Arial" w:hAnsi="Arial" w:cs="Arial"/>
          <w:lang w:eastAsia="en-GB"/>
        </w:rPr>
      </w:pPr>
      <w:r w:rsidRPr="49F2994D">
        <w:rPr>
          <w:rFonts w:ascii="Arial" w:hAnsi="Arial" w:cs="Arial"/>
          <w:lang w:eastAsia="en-GB"/>
        </w:rPr>
        <w:t xml:space="preserve">A joint </w:t>
      </w:r>
      <w:r w:rsidR="00296F89">
        <w:rPr>
          <w:rFonts w:ascii="Arial" w:hAnsi="Arial" w:cs="Arial"/>
          <w:lang w:eastAsia="en-GB"/>
        </w:rPr>
        <w:t xml:space="preserve">consultation </w:t>
      </w:r>
      <w:r w:rsidRPr="49F2994D">
        <w:rPr>
          <w:rFonts w:ascii="Arial" w:hAnsi="Arial" w:cs="Arial"/>
          <w:lang w:eastAsia="en-GB"/>
        </w:rPr>
        <w:t xml:space="preserve">on the Core Code </w:t>
      </w:r>
      <w:r w:rsidR="00A43988" w:rsidRPr="49F2994D">
        <w:rPr>
          <w:rFonts w:ascii="Arial" w:hAnsi="Arial" w:cs="Arial"/>
          <w:lang w:eastAsia="en-GB"/>
        </w:rPr>
        <w:t>was undertaken towards the end of last year</w:t>
      </w:r>
      <w:r w:rsidR="00B77B83" w:rsidRPr="49F2994D">
        <w:rPr>
          <w:rFonts w:ascii="Arial" w:hAnsi="Arial" w:cs="Arial"/>
          <w:lang w:eastAsia="en-GB"/>
        </w:rPr>
        <w:t xml:space="preserve">. </w:t>
      </w:r>
      <w:r w:rsidR="000C2EE9" w:rsidRPr="49F2994D">
        <w:rPr>
          <w:rFonts w:ascii="Arial" w:hAnsi="Arial" w:cs="Arial"/>
          <w:lang w:eastAsia="en-GB"/>
        </w:rPr>
        <w:t xml:space="preserve">It </w:t>
      </w:r>
      <w:r w:rsidR="006F6BE4" w:rsidRPr="49F2994D">
        <w:rPr>
          <w:rFonts w:ascii="Arial" w:hAnsi="Arial" w:cs="Arial"/>
          <w:lang w:eastAsia="en-GB"/>
        </w:rPr>
        <w:t>wa</w:t>
      </w:r>
      <w:r w:rsidR="000C2EE9" w:rsidRPr="49F2994D">
        <w:rPr>
          <w:rFonts w:ascii="Arial" w:hAnsi="Arial" w:cs="Arial"/>
          <w:lang w:eastAsia="en-GB"/>
        </w:rPr>
        <w:t xml:space="preserve">s </w:t>
      </w:r>
      <w:r w:rsidR="00BA3E5A" w:rsidRPr="49F2994D">
        <w:rPr>
          <w:rFonts w:ascii="Arial" w:hAnsi="Arial" w:cs="Arial"/>
          <w:lang w:eastAsia="en-GB"/>
        </w:rPr>
        <w:t xml:space="preserve">open to all interested parties, though within </w:t>
      </w:r>
      <w:r w:rsidR="004200AF" w:rsidRPr="49F2994D">
        <w:rPr>
          <w:rFonts w:ascii="Arial" w:hAnsi="Arial" w:cs="Arial"/>
          <w:lang w:eastAsia="en-GB"/>
        </w:rPr>
        <w:t>F</w:t>
      </w:r>
      <w:r w:rsidR="00F31B40" w:rsidRPr="49F2994D">
        <w:rPr>
          <w:rFonts w:ascii="Arial" w:hAnsi="Arial" w:cs="Arial"/>
          <w:lang w:eastAsia="en-GB"/>
        </w:rPr>
        <w:t>RA</w:t>
      </w:r>
      <w:r w:rsidR="004200AF" w:rsidRPr="49F2994D">
        <w:rPr>
          <w:rFonts w:ascii="Arial" w:hAnsi="Arial" w:cs="Arial"/>
          <w:lang w:eastAsia="en-GB"/>
        </w:rPr>
        <w:t>s/</w:t>
      </w:r>
      <w:r w:rsidR="00F31B40" w:rsidRPr="49F2994D">
        <w:rPr>
          <w:rFonts w:ascii="Arial" w:hAnsi="Arial" w:cs="Arial"/>
          <w:lang w:eastAsia="en-GB"/>
        </w:rPr>
        <w:t>FR</w:t>
      </w:r>
      <w:r w:rsidR="00BA3E5A" w:rsidRPr="49F2994D">
        <w:rPr>
          <w:rFonts w:ascii="Arial" w:hAnsi="Arial" w:cs="Arial"/>
          <w:lang w:eastAsia="en-GB"/>
        </w:rPr>
        <w:t>S</w:t>
      </w:r>
      <w:r w:rsidR="00F31B40" w:rsidRPr="49F2994D">
        <w:rPr>
          <w:rFonts w:ascii="Arial" w:hAnsi="Arial" w:cs="Arial"/>
          <w:lang w:eastAsia="en-GB"/>
        </w:rPr>
        <w:t xml:space="preserve">s </w:t>
      </w:r>
      <w:proofErr w:type="gramStart"/>
      <w:r w:rsidR="00F31B40" w:rsidRPr="49F2994D">
        <w:rPr>
          <w:rFonts w:ascii="Arial" w:hAnsi="Arial" w:cs="Arial"/>
          <w:lang w:eastAsia="en-GB"/>
        </w:rPr>
        <w:t>it</w:t>
      </w:r>
      <w:proofErr w:type="gramEnd"/>
      <w:r w:rsidR="00F31B40" w:rsidRPr="49F2994D">
        <w:rPr>
          <w:rFonts w:ascii="Arial" w:hAnsi="Arial" w:cs="Arial"/>
          <w:lang w:eastAsia="en-GB"/>
        </w:rPr>
        <w:t xml:space="preserve"> </w:t>
      </w:r>
      <w:r w:rsidR="00BA3E5A" w:rsidRPr="49F2994D">
        <w:rPr>
          <w:rFonts w:ascii="Arial" w:hAnsi="Arial" w:cs="Arial"/>
          <w:lang w:eastAsia="en-GB"/>
        </w:rPr>
        <w:t>target</w:t>
      </w:r>
      <w:r w:rsidR="006F6BE4" w:rsidRPr="49F2994D">
        <w:rPr>
          <w:rFonts w:ascii="Arial" w:hAnsi="Arial" w:cs="Arial"/>
          <w:lang w:eastAsia="en-GB"/>
        </w:rPr>
        <w:t>ed</w:t>
      </w:r>
      <w:r w:rsidR="00581E34" w:rsidRPr="49F2994D">
        <w:rPr>
          <w:rFonts w:ascii="Arial" w:hAnsi="Arial" w:cs="Arial"/>
          <w:lang w:eastAsia="en-GB"/>
        </w:rPr>
        <w:t xml:space="preserve"> </w:t>
      </w:r>
      <w:r w:rsidR="00B77B83" w:rsidRPr="49F2994D">
        <w:rPr>
          <w:rFonts w:ascii="Arial" w:hAnsi="Arial" w:cs="Arial"/>
          <w:lang w:eastAsia="en-GB"/>
        </w:rPr>
        <w:t xml:space="preserve">FRA </w:t>
      </w:r>
      <w:r w:rsidR="00581E34" w:rsidRPr="49F2994D">
        <w:rPr>
          <w:rFonts w:ascii="Arial" w:hAnsi="Arial" w:cs="Arial"/>
          <w:lang w:eastAsia="en-GB"/>
        </w:rPr>
        <w:t>Chairs</w:t>
      </w:r>
      <w:r w:rsidR="007C0A9E" w:rsidRPr="49F2994D">
        <w:rPr>
          <w:rFonts w:ascii="Arial" w:hAnsi="Arial" w:cs="Arial"/>
          <w:lang w:eastAsia="en-GB"/>
        </w:rPr>
        <w:t>,</w:t>
      </w:r>
      <w:r w:rsidR="00BA3E5A" w:rsidRPr="49F2994D">
        <w:rPr>
          <w:rFonts w:ascii="Arial" w:hAnsi="Arial" w:cs="Arial"/>
          <w:lang w:eastAsia="en-GB"/>
        </w:rPr>
        <w:t xml:space="preserve"> </w:t>
      </w:r>
      <w:r w:rsidR="00B77B83" w:rsidRPr="49F2994D">
        <w:rPr>
          <w:rFonts w:ascii="Arial" w:hAnsi="Arial" w:cs="Arial"/>
          <w:lang w:eastAsia="en-GB"/>
        </w:rPr>
        <w:t>PFCCs</w:t>
      </w:r>
      <w:r w:rsidR="0023410C" w:rsidRPr="49F2994D">
        <w:rPr>
          <w:rFonts w:ascii="Arial" w:hAnsi="Arial" w:cs="Arial"/>
          <w:lang w:eastAsia="en-GB"/>
        </w:rPr>
        <w:t xml:space="preserve">, </w:t>
      </w:r>
      <w:r w:rsidR="00BA3E5A" w:rsidRPr="49F2994D">
        <w:rPr>
          <w:rFonts w:ascii="Arial" w:hAnsi="Arial" w:cs="Arial"/>
          <w:lang w:eastAsia="en-GB"/>
        </w:rPr>
        <w:t>CFO/CEs and HR Directors / Strategic Leads</w:t>
      </w:r>
      <w:r w:rsidR="007C0A9E" w:rsidRPr="49F2994D">
        <w:rPr>
          <w:rFonts w:ascii="Arial" w:hAnsi="Arial" w:cs="Arial"/>
          <w:lang w:eastAsia="en-GB"/>
        </w:rPr>
        <w:t xml:space="preserve">. </w:t>
      </w:r>
      <w:r w:rsidR="002A4D14" w:rsidRPr="49F2994D">
        <w:rPr>
          <w:rFonts w:ascii="Arial" w:hAnsi="Arial" w:cs="Arial"/>
          <w:lang w:eastAsia="en-GB"/>
        </w:rPr>
        <w:t>Outcomes from the consultation indicate</w:t>
      </w:r>
      <w:r w:rsidR="0023410C" w:rsidRPr="49F2994D">
        <w:rPr>
          <w:rFonts w:ascii="Arial" w:hAnsi="Arial" w:cs="Arial"/>
          <w:lang w:eastAsia="en-GB"/>
        </w:rPr>
        <w:t>d</w:t>
      </w:r>
      <w:r w:rsidR="002A4D14" w:rsidRPr="49F2994D">
        <w:rPr>
          <w:rFonts w:ascii="Arial" w:hAnsi="Arial" w:cs="Arial"/>
          <w:lang w:eastAsia="en-GB"/>
        </w:rPr>
        <w:t xml:space="preserve"> a high level of support for the approach taken</w:t>
      </w:r>
      <w:r w:rsidR="0023410C" w:rsidRPr="49F2994D">
        <w:rPr>
          <w:rFonts w:ascii="Arial" w:hAnsi="Arial" w:cs="Arial"/>
          <w:lang w:eastAsia="en-GB"/>
        </w:rPr>
        <w:t xml:space="preserve"> with an average of 84</w:t>
      </w:r>
      <w:r w:rsidR="39CEEB46" w:rsidRPr="49F2994D">
        <w:rPr>
          <w:rFonts w:ascii="Arial" w:hAnsi="Arial" w:cs="Arial"/>
          <w:lang w:eastAsia="en-GB"/>
        </w:rPr>
        <w:t xml:space="preserve"> per cent</w:t>
      </w:r>
      <w:r w:rsidR="0023410C" w:rsidRPr="49F2994D">
        <w:rPr>
          <w:rFonts w:ascii="Arial" w:hAnsi="Arial" w:cs="Arial"/>
          <w:lang w:eastAsia="en-GB"/>
        </w:rPr>
        <w:t xml:space="preserve"> of respondents </w:t>
      </w:r>
      <w:r w:rsidR="00964525" w:rsidRPr="49F2994D">
        <w:rPr>
          <w:rFonts w:ascii="Arial" w:hAnsi="Arial" w:cs="Arial"/>
          <w:lang w:eastAsia="en-GB"/>
        </w:rPr>
        <w:t xml:space="preserve">across the </w:t>
      </w:r>
      <w:r w:rsidR="2E434946" w:rsidRPr="49F2994D">
        <w:rPr>
          <w:rFonts w:ascii="Arial" w:hAnsi="Arial" w:cs="Arial"/>
          <w:lang w:eastAsia="en-GB"/>
        </w:rPr>
        <w:t xml:space="preserve">seven </w:t>
      </w:r>
      <w:r w:rsidR="00964525" w:rsidRPr="49F2994D">
        <w:rPr>
          <w:rFonts w:ascii="Arial" w:hAnsi="Arial" w:cs="Arial"/>
          <w:lang w:eastAsia="en-GB"/>
        </w:rPr>
        <w:t>sections being content</w:t>
      </w:r>
      <w:r w:rsidR="54F8C0BE" w:rsidRPr="49F2994D">
        <w:rPr>
          <w:rFonts w:ascii="Arial" w:hAnsi="Arial" w:cs="Arial"/>
          <w:lang w:eastAsia="en-GB"/>
        </w:rPr>
        <w:t>.</w:t>
      </w:r>
      <w:r w:rsidR="00211EAA" w:rsidRPr="49F2994D">
        <w:rPr>
          <w:rFonts w:ascii="Arial" w:hAnsi="Arial" w:cs="Arial"/>
          <w:lang w:eastAsia="en-GB"/>
        </w:rPr>
        <w:t xml:space="preserve"> </w:t>
      </w:r>
      <w:r w:rsidR="00375FBC" w:rsidRPr="49F2994D">
        <w:rPr>
          <w:rFonts w:ascii="Arial" w:hAnsi="Arial" w:cs="Arial"/>
          <w:lang w:eastAsia="en-GB"/>
        </w:rPr>
        <w:t xml:space="preserve"> </w:t>
      </w:r>
    </w:p>
    <w:p w14:paraId="15214143" w14:textId="77777777" w:rsidR="000B74B6" w:rsidRDefault="000B74B6" w:rsidP="000B74B6">
      <w:pPr>
        <w:pStyle w:val="ListParagraph"/>
        <w:spacing w:line="276" w:lineRule="auto"/>
        <w:ind w:left="567"/>
        <w:contextualSpacing/>
        <w:jc w:val="both"/>
        <w:rPr>
          <w:rFonts w:ascii="Arial" w:hAnsi="Arial" w:cs="Arial"/>
          <w:lang w:eastAsia="en-GB"/>
        </w:rPr>
      </w:pPr>
    </w:p>
    <w:p w14:paraId="3F22EBF8" w14:textId="5FE3F7C3" w:rsidR="00C12B16" w:rsidRDefault="000B74B6" w:rsidP="00D431C8">
      <w:pPr>
        <w:pStyle w:val="ListParagraph"/>
        <w:numPr>
          <w:ilvl w:val="0"/>
          <w:numId w:val="1"/>
        </w:numPr>
        <w:spacing w:line="276" w:lineRule="auto"/>
        <w:ind w:left="567" w:hanging="567"/>
        <w:contextualSpacing/>
        <w:jc w:val="both"/>
        <w:rPr>
          <w:rFonts w:ascii="Arial" w:hAnsi="Arial" w:cs="Arial"/>
          <w:lang w:eastAsia="en-GB"/>
        </w:rPr>
      </w:pPr>
      <w:r w:rsidRPr="49F2994D">
        <w:rPr>
          <w:rFonts w:ascii="Arial" w:hAnsi="Arial" w:cs="Arial"/>
          <w:lang w:eastAsia="en-GB"/>
        </w:rPr>
        <w:t>Given the level of interest</w:t>
      </w:r>
      <w:r w:rsidR="00A905CF" w:rsidRPr="49F2994D">
        <w:rPr>
          <w:rFonts w:ascii="Arial" w:hAnsi="Arial" w:cs="Arial"/>
          <w:lang w:eastAsia="en-GB"/>
        </w:rPr>
        <w:t>, including</w:t>
      </w:r>
      <w:r w:rsidRPr="49F2994D">
        <w:rPr>
          <w:rFonts w:ascii="Arial" w:hAnsi="Arial" w:cs="Arial"/>
          <w:lang w:eastAsia="en-GB"/>
        </w:rPr>
        <w:t xml:space="preserve"> </w:t>
      </w:r>
      <w:r w:rsidR="005568F2" w:rsidRPr="49F2994D">
        <w:rPr>
          <w:rFonts w:ascii="Arial" w:hAnsi="Arial" w:cs="Arial"/>
          <w:lang w:eastAsia="en-GB"/>
        </w:rPr>
        <w:t>from the Home Office</w:t>
      </w:r>
      <w:r w:rsidR="00DF7149" w:rsidRPr="49F2994D">
        <w:rPr>
          <w:rFonts w:ascii="Arial" w:hAnsi="Arial" w:cs="Arial"/>
          <w:lang w:eastAsia="en-GB"/>
        </w:rPr>
        <w:t xml:space="preserve">, </w:t>
      </w:r>
      <w:r w:rsidR="00E2621C" w:rsidRPr="49F2994D">
        <w:rPr>
          <w:rFonts w:ascii="Arial" w:hAnsi="Arial" w:cs="Arial"/>
          <w:lang w:eastAsia="en-GB"/>
        </w:rPr>
        <w:t>Fire Standards Board</w:t>
      </w:r>
      <w:r w:rsidR="00DF7149" w:rsidRPr="49F2994D">
        <w:rPr>
          <w:rFonts w:ascii="Arial" w:hAnsi="Arial" w:cs="Arial"/>
          <w:lang w:eastAsia="en-GB"/>
        </w:rPr>
        <w:t xml:space="preserve"> and HMICFRS</w:t>
      </w:r>
      <w:r w:rsidR="00EA33B4" w:rsidRPr="49F2994D">
        <w:rPr>
          <w:rFonts w:ascii="Arial" w:hAnsi="Arial" w:cs="Arial"/>
          <w:lang w:eastAsia="en-GB"/>
        </w:rPr>
        <w:t xml:space="preserve"> </w:t>
      </w:r>
      <w:r w:rsidR="0063003D" w:rsidRPr="49F2994D">
        <w:rPr>
          <w:rFonts w:ascii="Arial" w:hAnsi="Arial" w:cs="Arial"/>
          <w:lang w:eastAsia="en-GB"/>
        </w:rPr>
        <w:t>we</w:t>
      </w:r>
      <w:r w:rsidR="00EA33B4" w:rsidRPr="49F2994D">
        <w:rPr>
          <w:rFonts w:ascii="Arial" w:hAnsi="Arial" w:cs="Arial"/>
          <w:lang w:eastAsia="en-GB"/>
        </w:rPr>
        <w:t>,</w:t>
      </w:r>
      <w:r w:rsidR="0063003D" w:rsidRPr="49F2994D">
        <w:rPr>
          <w:rFonts w:ascii="Arial" w:hAnsi="Arial" w:cs="Arial"/>
          <w:lang w:eastAsia="en-GB"/>
        </w:rPr>
        <w:t xml:space="preserve"> </w:t>
      </w:r>
      <w:r w:rsidR="00782921" w:rsidRPr="49F2994D">
        <w:rPr>
          <w:rFonts w:ascii="Arial" w:hAnsi="Arial" w:cs="Arial"/>
          <w:lang w:eastAsia="en-GB"/>
        </w:rPr>
        <w:t>together with the NFCC</w:t>
      </w:r>
      <w:r w:rsidR="00EA33B4" w:rsidRPr="49F2994D">
        <w:rPr>
          <w:rFonts w:ascii="Arial" w:hAnsi="Arial" w:cs="Arial"/>
          <w:lang w:eastAsia="en-GB"/>
        </w:rPr>
        <w:t>,</w:t>
      </w:r>
      <w:r w:rsidR="00782921" w:rsidRPr="49F2994D">
        <w:rPr>
          <w:rFonts w:ascii="Arial" w:hAnsi="Arial" w:cs="Arial"/>
          <w:lang w:eastAsia="en-GB"/>
        </w:rPr>
        <w:t xml:space="preserve"> approached </w:t>
      </w:r>
      <w:r w:rsidR="0057505E" w:rsidRPr="49F2994D">
        <w:rPr>
          <w:rFonts w:ascii="Arial" w:hAnsi="Arial" w:cs="Arial"/>
          <w:lang w:eastAsia="en-GB"/>
        </w:rPr>
        <w:t xml:space="preserve">HMICFRS </w:t>
      </w:r>
      <w:r w:rsidR="0057505E" w:rsidRPr="49F2994D">
        <w:rPr>
          <w:rFonts w:ascii="Arial" w:hAnsi="Arial" w:cs="Arial"/>
        </w:rPr>
        <w:t xml:space="preserve">to extend the recommendation deadline to the end of March </w:t>
      </w:r>
      <w:r w:rsidR="51A387EC" w:rsidRPr="49F2994D">
        <w:rPr>
          <w:rFonts w:ascii="Arial" w:hAnsi="Arial" w:cs="Arial"/>
        </w:rPr>
        <w:t>20</w:t>
      </w:r>
      <w:r w:rsidR="0057505E" w:rsidRPr="49F2994D">
        <w:rPr>
          <w:rFonts w:ascii="Arial" w:hAnsi="Arial" w:cs="Arial"/>
        </w:rPr>
        <w:t>21</w:t>
      </w:r>
      <w:r w:rsidR="00DF7149" w:rsidRPr="49F2994D">
        <w:rPr>
          <w:rFonts w:ascii="Arial" w:hAnsi="Arial" w:cs="Arial"/>
        </w:rPr>
        <w:t xml:space="preserve">. This would </w:t>
      </w:r>
      <w:r w:rsidR="0057505E" w:rsidRPr="49F2994D">
        <w:rPr>
          <w:rFonts w:ascii="Arial" w:hAnsi="Arial" w:cs="Arial"/>
        </w:rPr>
        <w:t xml:space="preserve">allow time </w:t>
      </w:r>
      <w:r w:rsidR="008E611B" w:rsidRPr="49F2994D">
        <w:rPr>
          <w:rFonts w:ascii="Arial" w:hAnsi="Arial" w:cs="Arial"/>
        </w:rPr>
        <w:t xml:space="preserve">to build upon that engagement further to ensure we have the best possible code going forward and to support the need to then embed it at local level. </w:t>
      </w:r>
    </w:p>
    <w:p w14:paraId="156CD6E2" w14:textId="4956CD0C" w:rsidR="00C12B16" w:rsidRDefault="00C12B16" w:rsidP="00C12B16">
      <w:pPr>
        <w:pStyle w:val="ListParagraph"/>
        <w:spacing w:line="276" w:lineRule="auto"/>
        <w:ind w:left="567"/>
        <w:contextualSpacing/>
        <w:jc w:val="both"/>
        <w:rPr>
          <w:rFonts w:ascii="Arial" w:hAnsi="Arial" w:cs="Arial"/>
          <w:lang w:eastAsia="en-GB"/>
        </w:rPr>
      </w:pPr>
    </w:p>
    <w:p w14:paraId="220518D5" w14:textId="23CEADCB" w:rsidR="00F77B8B" w:rsidRPr="00F77B8B" w:rsidRDefault="00A133A8" w:rsidP="00F77B8B">
      <w:pPr>
        <w:spacing w:line="276" w:lineRule="auto"/>
        <w:contextualSpacing/>
        <w:jc w:val="both"/>
        <w:rPr>
          <w:rFonts w:ascii="Arial" w:hAnsi="Arial" w:cs="Arial"/>
          <w:u w:val="single"/>
          <w:lang w:eastAsia="en-GB"/>
        </w:rPr>
      </w:pPr>
      <w:r>
        <w:rPr>
          <w:rFonts w:ascii="Arial" w:hAnsi="Arial" w:cs="Arial"/>
          <w:u w:val="single"/>
          <w:lang w:eastAsia="en-GB"/>
        </w:rPr>
        <w:t>Current position</w:t>
      </w:r>
    </w:p>
    <w:p w14:paraId="7C8E8A35" w14:textId="77777777" w:rsidR="00F77B8B" w:rsidRDefault="00F77B8B" w:rsidP="00C12B16">
      <w:pPr>
        <w:pStyle w:val="ListParagraph"/>
        <w:spacing w:line="276" w:lineRule="auto"/>
        <w:ind w:left="567"/>
        <w:contextualSpacing/>
        <w:jc w:val="both"/>
        <w:rPr>
          <w:rFonts w:ascii="Arial" w:hAnsi="Arial" w:cs="Arial"/>
          <w:lang w:eastAsia="en-GB"/>
        </w:rPr>
      </w:pPr>
    </w:p>
    <w:p w14:paraId="2915B527" w14:textId="369403E6" w:rsidR="000F47E3" w:rsidRDefault="00C23FB7" w:rsidP="00D431C8">
      <w:pPr>
        <w:pStyle w:val="ListParagraph"/>
        <w:numPr>
          <w:ilvl w:val="0"/>
          <w:numId w:val="1"/>
        </w:numPr>
        <w:spacing w:line="276" w:lineRule="auto"/>
        <w:ind w:left="567" w:hanging="567"/>
        <w:contextualSpacing/>
        <w:jc w:val="both"/>
        <w:rPr>
          <w:rFonts w:ascii="Arial" w:hAnsi="Arial" w:cs="Arial"/>
          <w:lang w:eastAsia="en-GB"/>
        </w:rPr>
      </w:pPr>
      <w:r>
        <w:rPr>
          <w:rFonts w:ascii="Arial" w:hAnsi="Arial" w:cs="Arial"/>
          <w:lang w:eastAsia="en-GB"/>
        </w:rPr>
        <w:t xml:space="preserve">Since then </w:t>
      </w:r>
      <w:r w:rsidR="00482FEA">
        <w:rPr>
          <w:rFonts w:ascii="Arial" w:hAnsi="Arial" w:cs="Arial"/>
          <w:lang w:eastAsia="en-GB"/>
        </w:rPr>
        <w:t>that further engagement has taken place</w:t>
      </w:r>
      <w:r w:rsidR="00D80160">
        <w:rPr>
          <w:rFonts w:ascii="Arial" w:hAnsi="Arial" w:cs="Arial"/>
          <w:lang w:eastAsia="en-GB"/>
        </w:rPr>
        <w:t xml:space="preserve"> </w:t>
      </w:r>
      <w:r w:rsidR="00611E3F">
        <w:rPr>
          <w:rFonts w:ascii="Arial" w:hAnsi="Arial" w:cs="Arial"/>
          <w:lang w:eastAsia="en-GB"/>
        </w:rPr>
        <w:t xml:space="preserve">and </w:t>
      </w:r>
      <w:r w:rsidR="00375FBC">
        <w:rPr>
          <w:rFonts w:ascii="Arial" w:hAnsi="Arial" w:cs="Arial"/>
          <w:lang w:eastAsia="en-GB"/>
        </w:rPr>
        <w:t>comments and suggestions for further improvement</w:t>
      </w:r>
      <w:r w:rsidR="00611E3F">
        <w:rPr>
          <w:rFonts w:ascii="Arial" w:hAnsi="Arial" w:cs="Arial"/>
          <w:lang w:eastAsia="en-GB"/>
        </w:rPr>
        <w:t xml:space="preserve"> taken on board</w:t>
      </w:r>
      <w:r w:rsidR="00375FBC">
        <w:rPr>
          <w:rFonts w:ascii="Arial" w:hAnsi="Arial" w:cs="Arial"/>
          <w:lang w:eastAsia="en-GB"/>
        </w:rPr>
        <w:t>.</w:t>
      </w:r>
      <w:r w:rsidR="0001364A">
        <w:rPr>
          <w:rFonts w:ascii="Arial" w:hAnsi="Arial" w:cs="Arial"/>
          <w:lang w:eastAsia="en-GB"/>
        </w:rPr>
        <w:t xml:space="preserve"> </w:t>
      </w:r>
      <w:r w:rsidR="008609CD">
        <w:rPr>
          <w:rFonts w:ascii="Arial" w:hAnsi="Arial" w:cs="Arial"/>
          <w:lang w:eastAsia="en-GB"/>
        </w:rPr>
        <w:t xml:space="preserve">Feedback </w:t>
      </w:r>
      <w:r w:rsidR="00346389">
        <w:rPr>
          <w:rFonts w:ascii="Arial" w:hAnsi="Arial" w:cs="Arial"/>
          <w:lang w:eastAsia="en-GB"/>
        </w:rPr>
        <w:t xml:space="preserve">on the resulting revised Core Code was very supportive. </w:t>
      </w:r>
      <w:r w:rsidR="00CD661C">
        <w:rPr>
          <w:rFonts w:ascii="Arial" w:hAnsi="Arial" w:cs="Arial"/>
          <w:lang w:eastAsia="en-GB"/>
        </w:rPr>
        <w:t xml:space="preserve">FSMC lead members </w:t>
      </w:r>
      <w:r w:rsidR="00AC4DE5">
        <w:rPr>
          <w:rFonts w:ascii="Arial" w:hAnsi="Arial" w:cs="Arial"/>
          <w:lang w:eastAsia="en-GB"/>
        </w:rPr>
        <w:t>were also supportive</w:t>
      </w:r>
      <w:r w:rsidR="00FD7E3E">
        <w:rPr>
          <w:rFonts w:ascii="Arial" w:hAnsi="Arial" w:cs="Arial"/>
          <w:lang w:eastAsia="en-GB"/>
        </w:rPr>
        <w:t>.</w:t>
      </w:r>
      <w:r w:rsidR="00B8779D">
        <w:rPr>
          <w:rFonts w:ascii="Arial" w:hAnsi="Arial" w:cs="Arial"/>
          <w:lang w:eastAsia="en-GB"/>
        </w:rPr>
        <w:t xml:space="preserve"> </w:t>
      </w:r>
      <w:r w:rsidR="008609CD">
        <w:rPr>
          <w:rFonts w:ascii="Arial" w:hAnsi="Arial" w:cs="Arial"/>
          <w:lang w:eastAsia="en-GB"/>
        </w:rPr>
        <w:t xml:space="preserve"> </w:t>
      </w:r>
    </w:p>
    <w:p w14:paraId="3172FC36" w14:textId="77777777" w:rsidR="005376AE" w:rsidRDefault="005376AE" w:rsidP="005376AE">
      <w:pPr>
        <w:pStyle w:val="ListParagraph"/>
        <w:spacing w:line="276" w:lineRule="auto"/>
        <w:ind w:left="567"/>
        <w:contextualSpacing/>
        <w:jc w:val="both"/>
        <w:rPr>
          <w:rFonts w:ascii="Arial" w:hAnsi="Arial" w:cs="Arial"/>
          <w:lang w:eastAsia="en-GB"/>
        </w:rPr>
      </w:pPr>
    </w:p>
    <w:p w14:paraId="036D41F6" w14:textId="0C3BF424" w:rsidR="005376AE" w:rsidRDefault="00D34A34" w:rsidP="00D431C8">
      <w:pPr>
        <w:pStyle w:val="ListParagraph"/>
        <w:numPr>
          <w:ilvl w:val="0"/>
          <w:numId w:val="1"/>
        </w:numPr>
        <w:spacing w:line="276" w:lineRule="auto"/>
        <w:ind w:left="567" w:hanging="567"/>
        <w:contextualSpacing/>
        <w:jc w:val="both"/>
        <w:rPr>
          <w:rFonts w:ascii="Arial" w:hAnsi="Arial" w:cs="Arial"/>
          <w:lang w:eastAsia="en-GB"/>
        </w:rPr>
      </w:pPr>
      <w:r w:rsidRPr="49F2994D">
        <w:rPr>
          <w:rFonts w:ascii="Arial" w:hAnsi="Arial" w:cs="Arial"/>
          <w:lang w:eastAsia="en-GB"/>
        </w:rPr>
        <w:t>Since 19 January the APCC ha</w:t>
      </w:r>
      <w:r w:rsidR="00057223" w:rsidRPr="49F2994D">
        <w:rPr>
          <w:rFonts w:ascii="Arial" w:hAnsi="Arial" w:cs="Arial"/>
          <w:lang w:eastAsia="en-GB"/>
        </w:rPr>
        <w:t>s</w:t>
      </w:r>
      <w:r w:rsidRPr="49F2994D">
        <w:rPr>
          <w:rFonts w:ascii="Arial" w:hAnsi="Arial" w:cs="Arial"/>
          <w:lang w:eastAsia="en-GB"/>
        </w:rPr>
        <w:t xml:space="preserve"> joined the LGA and NFCC as co-authors of the Core Code. </w:t>
      </w:r>
      <w:r w:rsidR="00B47E66" w:rsidRPr="49F2994D">
        <w:rPr>
          <w:rFonts w:ascii="Arial" w:hAnsi="Arial" w:cs="Arial"/>
          <w:lang w:eastAsia="en-GB"/>
        </w:rPr>
        <w:t xml:space="preserve">LGA, NFCC and APCC </w:t>
      </w:r>
      <w:r w:rsidR="0001364A" w:rsidRPr="49F2994D">
        <w:rPr>
          <w:rFonts w:ascii="Arial" w:hAnsi="Arial" w:cs="Arial"/>
          <w:lang w:eastAsia="en-GB"/>
        </w:rPr>
        <w:t>d</w:t>
      </w:r>
      <w:r w:rsidR="00BD4327" w:rsidRPr="49F2994D">
        <w:rPr>
          <w:rFonts w:ascii="Arial" w:hAnsi="Arial" w:cs="Arial"/>
          <w:lang w:eastAsia="en-GB"/>
        </w:rPr>
        <w:t>iscussions have taken place t</w:t>
      </w:r>
      <w:r w:rsidR="00F853DF" w:rsidRPr="49F2994D">
        <w:rPr>
          <w:rFonts w:ascii="Arial" w:hAnsi="Arial" w:cs="Arial"/>
          <w:lang w:eastAsia="en-GB"/>
        </w:rPr>
        <w:t>o explore amendments suggested by the APCC</w:t>
      </w:r>
      <w:r w:rsidR="00B768A0" w:rsidRPr="49F2994D">
        <w:rPr>
          <w:rFonts w:ascii="Arial" w:hAnsi="Arial" w:cs="Arial"/>
          <w:lang w:eastAsia="en-GB"/>
        </w:rPr>
        <w:t xml:space="preserve"> and </w:t>
      </w:r>
      <w:r w:rsidR="009A0C42" w:rsidRPr="49F2994D">
        <w:rPr>
          <w:rFonts w:ascii="Arial" w:hAnsi="Arial" w:cs="Arial"/>
          <w:lang w:eastAsia="en-GB"/>
        </w:rPr>
        <w:t xml:space="preserve">by far </w:t>
      </w:r>
      <w:r w:rsidR="002A4332" w:rsidRPr="49F2994D">
        <w:rPr>
          <w:rFonts w:ascii="Arial" w:hAnsi="Arial" w:cs="Arial"/>
          <w:lang w:eastAsia="en-GB"/>
        </w:rPr>
        <w:t>the majority incorporated into a revised draft.</w:t>
      </w:r>
      <w:r w:rsidR="008054F2" w:rsidRPr="49F2994D">
        <w:rPr>
          <w:rFonts w:ascii="Arial" w:hAnsi="Arial" w:cs="Arial"/>
          <w:lang w:eastAsia="en-GB"/>
        </w:rPr>
        <w:t xml:space="preserve"> </w:t>
      </w:r>
    </w:p>
    <w:p w14:paraId="2412BC4F" w14:textId="77777777" w:rsidR="00D73673" w:rsidRDefault="00D73673" w:rsidP="00D73673">
      <w:pPr>
        <w:pStyle w:val="ListParagraph"/>
        <w:spacing w:line="276" w:lineRule="auto"/>
        <w:ind w:left="567"/>
        <w:contextualSpacing/>
        <w:jc w:val="both"/>
        <w:rPr>
          <w:rFonts w:ascii="Arial" w:hAnsi="Arial" w:cs="Arial"/>
          <w:lang w:eastAsia="en-GB"/>
        </w:rPr>
      </w:pPr>
    </w:p>
    <w:p w14:paraId="77B16C5E" w14:textId="1D659E68" w:rsidR="005376AE" w:rsidRDefault="001642C7" w:rsidP="00D431C8">
      <w:pPr>
        <w:pStyle w:val="ListParagraph"/>
        <w:numPr>
          <w:ilvl w:val="0"/>
          <w:numId w:val="1"/>
        </w:numPr>
        <w:spacing w:line="276" w:lineRule="auto"/>
        <w:ind w:left="567" w:hanging="567"/>
        <w:contextualSpacing/>
        <w:jc w:val="both"/>
        <w:rPr>
          <w:rFonts w:ascii="Arial" w:hAnsi="Arial" w:cs="Arial"/>
          <w:lang w:eastAsia="en-GB"/>
        </w:rPr>
      </w:pPr>
      <w:r>
        <w:rPr>
          <w:rFonts w:ascii="Arial" w:hAnsi="Arial" w:cs="Arial"/>
          <w:lang w:eastAsia="en-GB"/>
        </w:rPr>
        <w:lastRenderedPageBreak/>
        <w:t xml:space="preserve">Each of the three organisations will need to seek approval of the </w:t>
      </w:r>
      <w:r w:rsidR="006C41EE">
        <w:rPr>
          <w:rFonts w:ascii="Arial" w:hAnsi="Arial" w:cs="Arial"/>
          <w:lang w:eastAsia="en-GB"/>
        </w:rPr>
        <w:t xml:space="preserve">Core Code through their own governance arrangements </w:t>
      </w:r>
      <w:r w:rsidR="00FF443E">
        <w:rPr>
          <w:rFonts w:ascii="Arial" w:hAnsi="Arial" w:cs="Arial"/>
          <w:lang w:eastAsia="en-GB"/>
        </w:rPr>
        <w:t>in time to</w:t>
      </w:r>
      <w:r w:rsidR="00173DB5">
        <w:rPr>
          <w:rFonts w:ascii="Arial" w:hAnsi="Arial" w:cs="Arial"/>
          <w:lang w:eastAsia="en-GB"/>
        </w:rPr>
        <w:t xml:space="preserve"> be ready </w:t>
      </w:r>
      <w:r w:rsidR="006C41EE">
        <w:rPr>
          <w:rFonts w:ascii="Arial" w:hAnsi="Arial" w:cs="Arial"/>
          <w:lang w:eastAsia="en-GB"/>
        </w:rPr>
        <w:t>to launch at the end of March</w:t>
      </w:r>
      <w:r w:rsidR="00173DB5">
        <w:rPr>
          <w:rFonts w:ascii="Arial" w:hAnsi="Arial" w:cs="Arial"/>
          <w:lang w:eastAsia="en-GB"/>
        </w:rPr>
        <w:t>. Therefore, t</w:t>
      </w:r>
      <w:r w:rsidR="00D73673">
        <w:rPr>
          <w:rFonts w:ascii="Arial" w:hAnsi="Arial" w:cs="Arial"/>
          <w:lang w:eastAsia="en-GB"/>
        </w:rPr>
        <w:t xml:space="preserve">he intention </w:t>
      </w:r>
      <w:r w:rsidR="00787A45">
        <w:rPr>
          <w:rFonts w:ascii="Arial" w:hAnsi="Arial" w:cs="Arial"/>
          <w:lang w:eastAsia="en-GB"/>
        </w:rPr>
        <w:t>for</w:t>
      </w:r>
      <w:r w:rsidR="00D73673">
        <w:rPr>
          <w:rFonts w:ascii="Arial" w:hAnsi="Arial" w:cs="Arial"/>
          <w:lang w:eastAsia="en-GB"/>
        </w:rPr>
        <w:t xml:space="preserve"> today’s meeting is to </w:t>
      </w:r>
      <w:r w:rsidR="00787A45">
        <w:rPr>
          <w:rFonts w:ascii="Arial" w:hAnsi="Arial" w:cs="Arial"/>
          <w:lang w:eastAsia="en-GB"/>
        </w:rPr>
        <w:t xml:space="preserve">consider </w:t>
      </w:r>
      <w:r w:rsidR="002D555D">
        <w:rPr>
          <w:rFonts w:ascii="Arial" w:hAnsi="Arial" w:cs="Arial"/>
          <w:lang w:eastAsia="en-GB"/>
        </w:rPr>
        <w:t>a</w:t>
      </w:r>
      <w:r w:rsidR="00787A45">
        <w:rPr>
          <w:rFonts w:ascii="Arial" w:hAnsi="Arial" w:cs="Arial"/>
          <w:lang w:eastAsia="en-GB"/>
        </w:rPr>
        <w:t xml:space="preserve"> final draft with a view to </w:t>
      </w:r>
      <w:r w:rsidR="00241D0B">
        <w:rPr>
          <w:rFonts w:ascii="Arial" w:hAnsi="Arial" w:cs="Arial"/>
          <w:lang w:eastAsia="en-GB"/>
        </w:rPr>
        <w:t xml:space="preserve">securing </w:t>
      </w:r>
      <w:r w:rsidR="00D73673">
        <w:rPr>
          <w:rFonts w:ascii="Arial" w:hAnsi="Arial" w:cs="Arial"/>
          <w:lang w:eastAsia="en-GB"/>
        </w:rPr>
        <w:t xml:space="preserve">FSMC members </w:t>
      </w:r>
      <w:r w:rsidR="00241D0B">
        <w:rPr>
          <w:rFonts w:ascii="Arial" w:hAnsi="Arial" w:cs="Arial"/>
          <w:lang w:eastAsia="en-GB"/>
        </w:rPr>
        <w:t xml:space="preserve">approval. </w:t>
      </w:r>
      <w:r w:rsidR="00787A45">
        <w:rPr>
          <w:rFonts w:ascii="Arial" w:hAnsi="Arial" w:cs="Arial"/>
          <w:lang w:eastAsia="en-GB"/>
        </w:rPr>
        <w:t xml:space="preserve">As further comment is awaited from the APCC </w:t>
      </w:r>
      <w:r w:rsidR="00A72088">
        <w:rPr>
          <w:rFonts w:ascii="Arial" w:hAnsi="Arial" w:cs="Arial"/>
          <w:lang w:eastAsia="en-GB"/>
        </w:rPr>
        <w:t xml:space="preserve">it is not possible to provide a copy of the </w:t>
      </w:r>
      <w:r w:rsidR="00A406E9">
        <w:rPr>
          <w:rFonts w:ascii="Arial" w:hAnsi="Arial" w:cs="Arial"/>
          <w:lang w:eastAsia="en-GB"/>
        </w:rPr>
        <w:t xml:space="preserve">final </w:t>
      </w:r>
      <w:r w:rsidR="00A72088">
        <w:rPr>
          <w:rFonts w:ascii="Arial" w:hAnsi="Arial" w:cs="Arial"/>
          <w:lang w:eastAsia="en-GB"/>
        </w:rPr>
        <w:t xml:space="preserve">draft at the time of writing </w:t>
      </w:r>
      <w:r w:rsidR="00CD381F">
        <w:rPr>
          <w:rFonts w:ascii="Arial" w:hAnsi="Arial" w:cs="Arial"/>
          <w:lang w:eastAsia="en-GB"/>
        </w:rPr>
        <w:t xml:space="preserve">this report. It will therefore </w:t>
      </w:r>
      <w:r w:rsidR="00A937A6">
        <w:rPr>
          <w:rFonts w:ascii="Arial" w:hAnsi="Arial" w:cs="Arial"/>
          <w:lang w:eastAsia="en-GB"/>
        </w:rPr>
        <w:t xml:space="preserve">be issued separately in advance of the meeting. </w:t>
      </w:r>
    </w:p>
    <w:p w14:paraId="2154705C" w14:textId="77777777" w:rsidR="002A27E6" w:rsidRDefault="002A27E6" w:rsidP="007D63EA">
      <w:pPr>
        <w:spacing w:line="276" w:lineRule="auto"/>
        <w:contextualSpacing/>
        <w:jc w:val="both"/>
        <w:rPr>
          <w:rFonts w:ascii="Arial" w:hAnsi="Arial" w:cs="Arial"/>
          <w:u w:val="single"/>
          <w:lang w:eastAsia="en-GB"/>
        </w:rPr>
      </w:pPr>
    </w:p>
    <w:p w14:paraId="58AA025D" w14:textId="14EB48CC" w:rsidR="007D63EA" w:rsidRPr="007D63EA" w:rsidRDefault="007D63EA" w:rsidP="007D63EA">
      <w:pPr>
        <w:spacing w:line="276" w:lineRule="auto"/>
        <w:contextualSpacing/>
        <w:jc w:val="both"/>
        <w:rPr>
          <w:rFonts w:ascii="Arial" w:hAnsi="Arial" w:cs="Arial"/>
          <w:u w:val="single"/>
          <w:lang w:eastAsia="en-GB"/>
        </w:rPr>
      </w:pPr>
      <w:r>
        <w:rPr>
          <w:rFonts w:ascii="Arial" w:hAnsi="Arial" w:cs="Arial"/>
          <w:u w:val="single"/>
          <w:lang w:eastAsia="en-GB"/>
        </w:rPr>
        <w:t>Next steps</w:t>
      </w:r>
    </w:p>
    <w:p w14:paraId="0B976F37" w14:textId="77777777" w:rsidR="007D63EA" w:rsidRDefault="007D63EA" w:rsidP="007D63EA">
      <w:pPr>
        <w:pStyle w:val="ListParagraph"/>
        <w:spacing w:line="276" w:lineRule="auto"/>
        <w:ind w:left="567"/>
        <w:contextualSpacing/>
        <w:jc w:val="both"/>
        <w:rPr>
          <w:rFonts w:ascii="Arial" w:hAnsi="Arial" w:cs="Arial"/>
          <w:lang w:eastAsia="en-GB"/>
        </w:rPr>
      </w:pPr>
    </w:p>
    <w:p w14:paraId="73376B66" w14:textId="0AEB8038" w:rsidR="00231514" w:rsidRPr="009B06C2" w:rsidRDefault="007D63EA" w:rsidP="009B06C2">
      <w:pPr>
        <w:pStyle w:val="ListParagraph"/>
        <w:numPr>
          <w:ilvl w:val="0"/>
          <w:numId w:val="1"/>
        </w:numPr>
        <w:spacing w:line="276" w:lineRule="auto"/>
        <w:ind w:left="567" w:hanging="567"/>
        <w:contextualSpacing/>
        <w:jc w:val="both"/>
        <w:rPr>
          <w:rFonts w:ascii="Arial" w:hAnsi="Arial" w:cs="Arial"/>
          <w:lang w:eastAsia="en-GB"/>
        </w:rPr>
      </w:pPr>
      <w:r w:rsidRPr="49F2994D">
        <w:rPr>
          <w:rFonts w:ascii="Arial" w:hAnsi="Arial" w:cs="Arial"/>
          <w:lang w:eastAsia="en-GB"/>
        </w:rPr>
        <w:t xml:space="preserve">Work is also underway </w:t>
      </w:r>
      <w:r w:rsidR="006E2930" w:rsidRPr="49F2994D">
        <w:rPr>
          <w:rFonts w:ascii="Arial" w:hAnsi="Arial" w:cs="Arial"/>
          <w:lang w:eastAsia="en-GB"/>
        </w:rPr>
        <w:t xml:space="preserve">on guidance to accompany the Core Code and </w:t>
      </w:r>
      <w:r w:rsidR="00123A96" w:rsidRPr="49F2994D">
        <w:rPr>
          <w:rFonts w:ascii="Arial" w:hAnsi="Arial" w:cs="Arial"/>
          <w:lang w:eastAsia="en-GB"/>
        </w:rPr>
        <w:t>on how we can best support implementation</w:t>
      </w:r>
      <w:r w:rsidR="001F55FB" w:rsidRPr="49F2994D">
        <w:rPr>
          <w:rFonts w:ascii="Arial" w:hAnsi="Arial" w:cs="Arial"/>
          <w:lang w:eastAsia="en-GB"/>
        </w:rPr>
        <w:t xml:space="preserve">. As part of the implementation work the LGA and NFCC had already undertaken a workshop with </w:t>
      </w:r>
      <w:r w:rsidR="19800A32" w:rsidRPr="49F2994D">
        <w:rPr>
          <w:rFonts w:ascii="Arial" w:hAnsi="Arial" w:cs="Arial"/>
          <w:lang w:eastAsia="en-GB"/>
        </w:rPr>
        <w:t>seven</w:t>
      </w:r>
      <w:r w:rsidR="00F22BFE" w:rsidRPr="49F2994D">
        <w:rPr>
          <w:rFonts w:ascii="Arial" w:hAnsi="Arial" w:cs="Arial"/>
          <w:lang w:eastAsia="en-GB"/>
        </w:rPr>
        <w:t xml:space="preserve"> services to explore with them how it can best be achieved and what we can do to assist</w:t>
      </w:r>
      <w:r w:rsidR="0071345B" w:rsidRPr="49F2994D">
        <w:rPr>
          <w:rFonts w:ascii="Arial" w:hAnsi="Arial" w:cs="Arial"/>
          <w:lang w:eastAsia="en-GB"/>
        </w:rPr>
        <w:t xml:space="preserve">. The intention is to hold a further </w:t>
      </w:r>
      <w:r w:rsidR="3D9DA17E" w:rsidRPr="49F2994D">
        <w:rPr>
          <w:rFonts w:ascii="Arial" w:hAnsi="Arial" w:cs="Arial"/>
          <w:lang w:eastAsia="en-GB"/>
        </w:rPr>
        <w:t>three</w:t>
      </w:r>
      <w:r w:rsidR="0071345B" w:rsidRPr="49F2994D">
        <w:rPr>
          <w:rFonts w:ascii="Arial" w:hAnsi="Arial" w:cs="Arial"/>
          <w:lang w:eastAsia="en-GB"/>
        </w:rPr>
        <w:t xml:space="preserve"> workshops </w:t>
      </w:r>
      <w:r w:rsidR="00686EC6" w:rsidRPr="49F2994D">
        <w:rPr>
          <w:rFonts w:ascii="Arial" w:hAnsi="Arial" w:cs="Arial"/>
          <w:lang w:eastAsia="en-GB"/>
        </w:rPr>
        <w:t xml:space="preserve">on the same basis </w:t>
      </w:r>
      <w:r w:rsidR="0071345B" w:rsidRPr="49F2994D">
        <w:rPr>
          <w:rFonts w:ascii="Arial" w:hAnsi="Arial" w:cs="Arial"/>
          <w:lang w:eastAsia="en-GB"/>
        </w:rPr>
        <w:t xml:space="preserve">to </w:t>
      </w:r>
      <w:r w:rsidR="004E5521" w:rsidRPr="49F2994D">
        <w:rPr>
          <w:rFonts w:ascii="Arial" w:hAnsi="Arial" w:cs="Arial"/>
          <w:lang w:eastAsia="en-GB"/>
        </w:rPr>
        <w:t xml:space="preserve">capture all </w:t>
      </w:r>
      <w:r w:rsidR="0041566C" w:rsidRPr="49F2994D">
        <w:rPr>
          <w:rFonts w:ascii="Arial" w:hAnsi="Arial" w:cs="Arial"/>
          <w:lang w:eastAsia="en-GB"/>
        </w:rPr>
        <w:t>FRSs.</w:t>
      </w:r>
      <w:r w:rsidR="00C42E95" w:rsidRPr="49F2994D">
        <w:rPr>
          <w:rFonts w:ascii="Arial" w:hAnsi="Arial" w:cs="Arial"/>
          <w:lang w:eastAsia="en-GB"/>
        </w:rPr>
        <w:t xml:space="preserve"> We can then</w:t>
      </w:r>
      <w:r w:rsidR="00883887" w:rsidRPr="49F2994D">
        <w:rPr>
          <w:rFonts w:ascii="Arial" w:hAnsi="Arial" w:cs="Arial"/>
          <w:lang w:eastAsia="en-GB"/>
        </w:rPr>
        <w:t>, for example,</w:t>
      </w:r>
      <w:r w:rsidR="00C42E95" w:rsidRPr="49F2994D">
        <w:rPr>
          <w:rFonts w:ascii="Arial" w:hAnsi="Arial" w:cs="Arial"/>
          <w:lang w:eastAsia="en-GB"/>
        </w:rPr>
        <w:t xml:space="preserve"> </w:t>
      </w:r>
      <w:r w:rsidR="00EE22D2" w:rsidRPr="49F2994D">
        <w:rPr>
          <w:rFonts w:ascii="Arial" w:hAnsi="Arial" w:cs="Arial"/>
          <w:lang w:eastAsia="en-GB"/>
        </w:rPr>
        <w:t xml:space="preserve">develop and </w:t>
      </w:r>
      <w:r w:rsidR="00C42E95" w:rsidRPr="49F2994D">
        <w:rPr>
          <w:rFonts w:ascii="Arial" w:hAnsi="Arial" w:cs="Arial"/>
          <w:lang w:eastAsia="en-GB"/>
        </w:rPr>
        <w:t>provide toolkits</w:t>
      </w:r>
      <w:r w:rsidR="006771DC" w:rsidRPr="49F2994D">
        <w:rPr>
          <w:rFonts w:ascii="Arial" w:hAnsi="Arial" w:cs="Arial"/>
          <w:lang w:eastAsia="en-GB"/>
        </w:rPr>
        <w:t xml:space="preserve">, further specific workshops (such as discussing with staff) </w:t>
      </w:r>
      <w:r w:rsidR="00B16635" w:rsidRPr="49F2994D">
        <w:rPr>
          <w:rFonts w:ascii="Arial" w:hAnsi="Arial" w:cs="Arial"/>
          <w:lang w:eastAsia="en-GB"/>
        </w:rPr>
        <w:t xml:space="preserve">and the sharing of good practice. </w:t>
      </w:r>
      <w:r w:rsidR="0041566C" w:rsidRPr="49F2994D">
        <w:rPr>
          <w:rFonts w:ascii="Arial" w:hAnsi="Arial" w:cs="Arial"/>
          <w:lang w:eastAsia="en-GB"/>
        </w:rPr>
        <w:t xml:space="preserve"> </w:t>
      </w:r>
      <w:r w:rsidR="00123A96" w:rsidRPr="49F2994D">
        <w:rPr>
          <w:rFonts w:ascii="Arial" w:hAnsi="Arial" w:cs="Arial"/>
          <w:lang w:eastAsia="en-GB"/>
        </w:rPr>
        <w:t xml:space="preserve"> </w:t>
      </w:r>
    </w:p>
    <w:p w14:paraId="1036DCD0" w14:textId="77777777" w:rsidR="00C052B4" w:rsidRDefault="00C052B4" w:rsidP="00DB433F">
      <w:pPr>
        <w:rPr>
          <w:rFonts w:ascii="Arial" w:eastAsia="Calibri" w:hAnsi="Arial" w:cs="Arial"/>
          <w:b/>
          <w:lang w:eastAsia="en-GB"/>
        </w:rPr>
      </w:pPr>
    </w:p>
    <w:p w14:paraId="6774B03A" w14:textId="05D9D116" w:rsidR="00DB433F" w:rsidRPr="007C737D" w:rsidRDefault="00DB433F" w:rsidP="00DB433F">
      <w:pPr>
        <w:rPr>
          <w:rFonts w:ascii="Arial" w:eastAsia="Calibri" w:hAnsi="Arial" w:cs="Arial"/>
          <w:b/>
          <w:lang w:eastAsia="en-GB"/>
        </w:rPr>
      </w:pPr>
      <w:r w:rsidRPr="007C737D">
        <w:rPr>
          <w:rFonts w:ascii="Arial" w:eastAsia="Calibri" w:hAnsi="Arial" w:cs="Arial"/>
          <w:b/>
          <w:lang w:eastAsia="en-GB"/>
        </w:rPr>
        <w:t>Fit for the Future</w:t>
      </w:r>
    </w:p>
    <w:p w14:paraId="02999A3C" w14:textId="77777777" w:rsidR="00DB433F" w:rsidRDefault="00DB433F" w:rsidP="00DB433F">
      <w:pPr>
        <w:pStyle w:val="ListParagraph"/>
        <w:rPr>
          <w:rFonts w:ascii="Arial" w:eastAsia="Calibri" w:hAnsi="Arial" w:cs="Arial"/>
          <w:lang w:eastAsia="en-GB"/>
        </w:rPr>
      </w:pPr>
    </w:p>
    <w:p w14:paraId="59BE9842" w14:textId="6A74CE39" w:rsidR="00DB433F" w:rsidRPr="00AC565A" w:rsidRDefault="00DB433F" w:rsidP="00AC565A">
      <w:pPr>
        <w:pStyle w:val="ListParagraph"/>
        <w:numPr>
          <w:ilvl w:val="0"/>
          <w:numId w:val="1"/>
        </w:numPr>
        <w:spacing w:after="256" w:line="257" w:lineRule="auto"/>
        <w:ind w:left="567" w:right="-13" w:hanging="567"/>
        <w:jc w:val="both"/>
        <w:rPr>
          <w:rFonts w:ascii="Arial" w:hAnsi="Arial" w:cs="Arial"/>
        </w:rPr>
      </w:pPr>
      <w:r w:rsidRPr="00AC565A">
        <w:rPr>
          <w:rFonts w:ascii="Arial" w:hAnsi="Arial" w:cs="Arial"/>
        </w:rPr>
        <w:t xml:space="preserve">Members will recall receiving updates on the development of an agreed improvement narrative, </w:t>
      </w:r>
      <w:proofErr w:type="gramStart"/>
      <w:r w:rsidRPr="00083D9F">
        <w:rPr>
          <w:rFonts w:ascii="Arial" w:hAnsi="Arial" w:cs="Arial"/>
          <w:iCs/>
        </w:rPr>
        <w:t>Fit</w:t>
      </w:r>
      <w:proofErr w:type="gramEnd"/>
      <w:r w:rsidRPr="00083D9F">
        <w:rPr>
          <w:rFonts w:ascii="Arial" w:hAnsi="Arial" w:cs="Arial"/>
          <w:iCs/>
        </w:rPr>
        <w:t xml:space="preserve"> for the Future</w:t>
      </w:r>
      <w:r w:rsidRPr="00AC565A">
        <w:rPr>
          <w:rFonts w:ascii="Arial" w:hAnsi="Arial" w:cs="Arial"/>
          <w:i/>
        </w:rPr>
        <w:t xml:space="preserve">, </w:t>
      </w:r>
      <w:r w:rsidRPr="00AC565A">
        <w:rPr>
          <w:rFonts w:ascii="Arial" w:hAnsi="Arial" w:cs="Arial"/>
        </w:rPr>
        <w:t xml:space="preserve">which includes improvement objectives that will give a national sense of direction to the future of Fire and Rescue Services in England. </w:t>
      </w:r>
    </w:p>
    <w:p w14:paraId="3B21B799" w14:textId="7E780B21" w:rsidR="00243EF9" w:rsidRDefault="0015175C" w:rsidP="00AC565A">
      <w:pPr>
        <w:numPr>
          <w:ilvl w:val="0"/>
          <w:numId w:val="1"/>
        </w:numPr>
        <w:spacing w:after="1" w:line="257" w:lineRule="auto"/>
        <w:ind w:left="567" w:right="-13" w:hanging="567"/>
        <w:jc w:val="both"/>
        <w:rPr>
          <w:rFonts w:ascii="Arial" w:hAnsi="Arial" w:cs="Arial"/>
        </w:rPr>
      </w:pPr>
      <w:r>
        <w:rPr>
          <w:rFonts w:ascii="Arial" w:hAnsi="Arial" w:cs="Arial"/>
        </w:rPr>
        <w:t>Initially</w:t>
      </w:r>
      <w:r w:rsidR="00405C72">
        <w:rPr>
          <w:rFonts w:ascii="Arial" w:hAnsi="Arial" w:cs="Arial"/>
        </w:rPr>
        <w:t xml:space="preserve"> the</w:t>
      </w:r>
      <w:r w:rsidR="00DB433F" w:rsidRPr="33988314">
        <w:rPr>
          <w:rFonts w:ascii="Arial" w:hAnsi="Arial" w:cs="Arial"/>
        </w:rPr>
        <w:t xml:space="preserve"> NFCC and the National Employers (England) work</w:t>
      </w:r>
      <w:r w:rsidR="00405C72">
        <w:rPr>
          <w:rFonts w:ascii="Arial" w:hAnsi="Arial" w:cs="Arial"/>
        </w:rPr>
        <w:t>ed</w:t>
      </w:r>
      <w:r w:rsidR="00DB433F" w:rsidRPr="33988314">
        <w:rPr>
          <w:rFonts w:ascii="Arial" w:hAnsi="Arial" w:cs="Arial"/>
        </w:rPr>
        <w:t xml:space="preserve"> in partnership </w:t>
      </w:r>
      <w:r w:rsidR="00405C72">
        <w:rPr>
          <w:rFonts w:ascii="Arial" w:hAnsi="Arial" w:cs="Arial"/>
        </w:rPr>
        <w:t xml:space="preserve">to </w:t>
      </w:r>
      <w:r w:rsidR="00DB433F" w:rsidRPr="33988314">
        <w:rPr>
          <w:rFonts w:ascii="Arial" w:hAnsi="Arial" w:cs="Arial"/>
        </w:rPr>
        <w:t xml:space="preserve">develop </w:t>
      </w:r>
      <w:r w:rsidR="00DB433F" w:rsidRPr="00C0696B">
        <w:rPr>
          <w:rFonts w:ascii="Arial" w:hAnsi="Arial" w:cs="Arial"/>
        </w:rPr>
        <w:t>the narrative and objectives based on analysis of the evidence available from a wide variety</w:t>
      </w:r>
      <w:r w:rsidR="00DB433F" w:rsidRPr="33988314">
        <w:rPr>
          <w:rFonts w:ascii="Arial" w:hAnsi="Arial" w:cs="Arial"/>
        </w:rPr>
        <w:t xml:space="preserve"> of sources, including the recommendations of the Grenfell Tower Inquiry (GTI) and the outcomes of inspection by Her Majesty’s Inspectorate of Constabulary and Fire and Rescue Services (HMICFRS). </w:t>
      </w:r>
      <w:r w:rsidR="00F51EDB">
        <w:rPr>
          <w:rFonts w:ascii="Arial" w:hAnsi="Arial" w:cs="Arial"/>
        </w:rPr>
        <w:t>Following discussion within the FSMC</w:t>
      </w:r>
      <w:r w:rsidR="00A359CE">
        <w:rPr>
          <w:rFonts w:ascii="Arial" w:hAnsi="Arial" w:cs="Arial"/>
        </w:rPr>
        <w:t xml:space="preserve"> it was resolved </w:t>
      </w:r>
      <w:r w:rsidR="00F51EDB" w:rsidRPr="007948D8">
        <w:rPr>
          <w:rFonts w:ascii="Arial" w:hAnsi="Arial" w:cs="Arial"/>
        </w:rPr>
        <w:t xml:space="preserve">that the LGA </w:t>
      </w:r>
      <w:r w:rsidR="00426E09">
        <w:rPr>
          <w:rFonts w:ascii="Arial" w:hAnsi="Arial" w:cs="Arial"/>
        </w:rPr>
        <w:t xml:space="preserve">would </w:t>
      </w:r>
      <w:r w:rsidR="00F51EDB" w:rsidRPr="007948D8">
        <w:rPr>
          <w:rFonts w:ascii="Arial" w:hAnsi="Arial" w:cs="Arial"/>
        </w:rPr>
        <w:t>be directly included</w:t>
      </w:r>
      <w:r w:rsidR="00426E09">
        <w:rPr>
          <w:rFonts w:ascii="Arial" w:hAnsi="Arial" w:cs="Arial"/>
        </w:rPr>
        <w:t xml:space="preserve">, </w:t>
      </w:r>
      <w:r w:rsidR="00F51EDB" w:rsidRPr="007948D8">
        <w:rPr>
          <w:rFonts w:ascii="Arial" w:hAnsi="Arial" w:cs="Arial"/>
        </w:rPr>
        <w:t>support</w:t>
      </w:r>
      <w:r w:rsidR="00426E09">
        <w:rPr>
          <w:rFonts w:ascii="Arial" w:hAnsi="Arial" w:cs="Arial"/>
        </w:rPr>
        <w:t>ing</w:t>
      </w:r>
      <w:r w:rsidR="00F51EDB" w:rsidRPr="007948D8">
        <w:rPr>
          <w:rFonts w:ascii="Arial" w:hAnsi="Arial" w:cs="Arial"/>
        </w:rPr>
        <w:t xml:space="preserve"> the Fit for the Future approach</w:t>
      </w:r>
      <w:r w:rsidR="00426E09">
        <w:rPr>
          <w:rFonts w:ascii="Arial" w:hAnsi="Arial" w:cs="Arial"/>
        </w:rPr>
        <w:t xml:space="preserve"> and</w:t>
      </w:r>
      <w:r w:rsidR="00F51EDB" w:rsidRPr="007948D8">
        <w:rPr>
          <w:rFonts w:ascii="Arial" w:hAnsi="Arial" w:cs="Arial"/>
        </w:rPr>
        <w:t xml:space="preserve"> becoming the third partner</w:t>
      </w:r>
      <w:r w:rsidR="003B2AB2">
        <w:rPr>
          <w:rFonts w:ascii="Arial" w:hAnsi="Arial" w:cs="Arial"/>
        </w:rPr>
        <w:t xml:space="preserve"> in this work</w:t>
      </w:r>
      <w:r w:rsidR="00E563FC">
        <w:rPr>
          <w:rFonts w:ascii="Arial" w:hAnsi="Arial" w:cs="Arial"/>
        </w:rPr>
        <w:t xml:space="preserve">. </w:t>
      </w:r>
    </w:p>
    <w:p w14:paraId="22620D96" w14:textId="77777777" w:rsidR="00243EF9" w:rsidRDefault="00243EF9" w:rsidP="00243EF9">
      <w:pPr>
        <w:spacing w:after="1" w:line="257" w:lineRule="auto"/>
        <w:ind w:left="567" w:right="-13"/>
        <w:jc w:val="both"/>
        <w:rPr>
          <w:rFonts w:ascii="Arial" w:hAnsi="Arial" w:cs="Arial"/>
        </w:rPr>
      </w:pPr>
    </w:p>
    <w:p w14:paraId="67D8B5E8" w14:textId="13159679" w:rsidR="00DB433F" w:rsidRPr="007948D8" w:rsidRDefault="00A82E7C" w:rsidP="0035700B">
      <w:pPr>
        <w:numPr>
          <w:ilvl w:val="0"/>
          <w:numId w:val="1"/>
        </w:numPr>
        <w:spacing w:after="1" w:line="257" w:lineRule="auto"/>
        <w:ind w:left="567" w:right="-13" w:hanging="567"/>
        <w:jc w:val="both"/>
        <w:rPr>
          <w:rFonts w:ascii="Arial" w:hAnsi="Arial" w:cs="Arial"/>
        </w:rPr>
      </w:pPr>
      <w:r w:rsidRPr="00243EF9">
        <w:rPr>
          <w:rFonts w:ascii="Arial" w:hAnsi="Arial" w:cs="Arial"/>
        </w:rPr>
        <w:t>A</w:t>
      </w:r>
      <w:r w:rsidR="001D2F2D">
        <w:rPr>
          <w:rFonts w:ascii="Arial" w:hAnsi="Arial" w:cs="Arial"/>
        </w:rPr>
        <w:t xml:space="preserve"> consultation open to all interested parties has taken place</w:t>
      </w:r>
      <w:r w:rsidR="00045D4D">
        <w:rPr>
          <w:rFonts w:ascii="Arial" w:hAnsi="Arial" w:cs="Arial"/>
        </w:rPr>
        <w:t xml:space="preserve"> and work is currently </w:t>
      </w:r>
      <w:r w:rsidR="00213176" w:rsidRPr="00243EF9">
        <w:rPr>
          <w:rFonts w:ascii="Arial" w:hAnsi="Arial" w:cs="Arial"/>
        </w:rPr>
        <w:t xml:space="preserve">underway </w:t>
      </w:r>
      <w:r w:rsidR="00F711CF">
        <w:rPr>
          <w:rFonts w:ascii="Arial" w:hAnsi="Arial" w:cs="Arial"/>
        </w:rPr>
        <w:t xml:space="preserve">considering an analysis of the </w:t>
      </w:r>
      <w:r w:rsidR="00A918CB" w:rsidRPr="00243EF9">
        <w:rPr>
          <w:rFonts w:ascii="Arial" w:hAnsi="Arial" w:cs="Arial"/>
        </w:rPr>
        <w:t>responses</w:t>
      </w:r>
      <w:r w:rsidR="00C43DA6">
        <w:rPr>
          <w:rFonts w:ascii="Arial" w:hAnsi="Arial" w:cs="Arial"/>
        </w:rPr>
        <w:t xml:space="preserve"> and how they can best inform </w:t>
      </w:r>
      <w:r w:rsidR="00591174">
        <w:rPr>
          <w:rFonts w:ascii="Arial" w:hAnsi="Arial" w:cs="Arial"/>
        </w:rPr>
        <w:t xml:space="preserve">future work and </w:t>
      </w:r>
      <w:r w:rsidR="00C43DA6">
        <w:rPr>
          <w:rFonts w:ascii="Arial" w:hAnsi="Arial" w:cs="Arial"/>
        </w:rPr>
        <w:t>further engagement</w:t>
      </w:r>
      <w:r w:rsidR="0035700B">
        <w:rPr>
          <w:rFonts w:ascii="Arial" w:hAnsi="Arial" w:cs="Arial"/>
        </w:rPr>
        <w:t xml:space="preserve">. </w:t>
      </w:r>
      <w:r w:rsidR="00A918CB" w:rsidRPr="00243EF9">
        <w:rPr>
          <w:rFonts w:ascii="Arial" w:hAnsi="Arial" w:cs="Arial"/>
        </w:rPr>
        <w:t xml:space="preserve"> </w:t>
      </w:r>
    </w:p>
    <w:p w14:paraId="2003793A" w14:textId="77777777" w:rsidR="0035700B" w:rsidRDefault="0035700B" w:rsidP="0020724A">
      <w:pPr>
        <w:pStyle w:val="ListParagraph"/>
        <w:ind w:left="0"/>
        <w:jc w:val="both"/>
        <w:rPr>
          <w:rStyle w:val="ReportTemplate"/>
          <w:rFonts w:ascii="Arial" w:hAnsi="Arial" w:cs="Arial"/>
          <w:b/>
          <w:iCs/>
          <w:noProof/>
          <w:lang w:eastAsia="en-GB"/>
        </w:rPr>
      </w:pPr>
    </w:p>
    <w:p w14:paraId="69C5C546" w14:textId="511EA742" w:rsidR="0020724A" w:rsidRPr="007C737D" w:rsidRDefault="0020724A" w:rsidP="0020724A">
      <w:pPr>
        <w:pStyle w:val="ListParagraph"/>
        <w:ind w:left="0"/>
        <w:jc w:val="both"/>
        <w:rPr>
          <w:rStyle w:val="ReportTemplate"/>
          <w:rFonts w:ascii="Arial" w:hAnsi="Arial" w:cs="Arial"/>
          <w:b/>
          <w:iCs/>
          <w:noProof/>
          <w:lang w:eastAsia="en-GB"/>
        </w:rPr>
      </w:pPr>
      <w:r w:rsidRPr="007C737D">
        <w:rPr>
          <w:rStyle w:val="ReportTemplate"/>
          <w:rFonts w:ascii="Arial" w:hAnsi="Arial" w:cs="Arial"/>
          <w:b/>
          <w:iCs/>
          <w:noProof/>
          <w:lang w:eastAsia="en-GB"/>
        </w:rPr>
        <w:t>Pension Scheme Transitional Protection Arrangements Discrimination Cases</w:t>
      </w:r>
    </w:p>
    <w:p w14:paraId="632DF4DB" w14:textId="77777777" w:rsidR="0020724A" w:rsidRPr="003E0D24" w:rsidRDefault="0020724A" w:rsidP="0020724A">
      <w:pPr>
        <w:pStyle w:val="ListParagraph"/>
        <w:ind w:left="0"/>
        <w:jc w:val="both"/>
        <w:rPr>
          <w:rStyle w:val="ReportTemplate"/>
          <w:rFonts w:ascii="Arial" w:hAnsi="Arial" w:cs="Arial"/>
          <w:i/>
          <w:noProof/>
          <w:lang w:eastAsia="en-GB"/>
        </w:rPr>
      </w:pPr>
    </w:p>
    <w:p w14:paraId="114278C9" w14:textId="21036620" w:rsidR="00740513" w:rsidRPr="00740513" w:rsidRDefault="00FC70DF" w:rsidP="00E867F0">
      <w:pPr>
        <w:numPr>
          <w:ilvl w:val="0"/>
          <w:numId w:val="1"/>
        </w:numPr>
        <w:spacing w:line="259" w:lineRule="auto"/>
        <w:ind w:left="567" w:hanging="567"/>
        <w:jc w:val="both"/>
        <w:rPr>
          <w:rFonts w:ascii="Arial" w:eastAsia="Calibri" w:hAnsi="Arial" w:cs="Arial"/>
        </w:rPr>
      </w:pPr>
      <w:r w:rsidRPr="00740513">
        <w:rPr>
          <w:rFonts w:ascii="Arial" w:eastAsia="Calibri" w:hAnsi="Arial" w:cs="Arial"/>
        </w:rPr>
        <w:t xml:space="preserve">These cases concern the issue of whether the transitional protections in the 2015 Fire </w:t>
      </w:r>
      <w:r w:rsidR="00740513" w:rsidRPr="00740513">
        <w:rPr>
          <w:rFonts w:ascii="Arial" w:eastAsia="Calibri" w:hAnsi="Arial" w:cs="Arial"/>
        </w:rPr>
        <w:t xml:space="preserve">Pension Scheme (FPS), which provide protections based on age allowing older members to remain in their former final salary scheme, are age discriminatory (other claims were made but it is the age discrimination claim which is the primary one). </w:t>
      </w:r>
    </w:p>
    <w:p w14:paraId="3E20664D" w14:textId="77777777" w:rsidR="00740513" w:rsidRPr="00740513" w:rsidRDefault="00740513" w:rsidP="00E867F0">
      <w:pPr>
        <w:jc w:val="both"/>
        <w:rPr>
          <w:rFonts w:ascii="Arial" w:eastAsia="Calibri" w:hAnsi="Arial" w:cs="Arial"/>
        </w:rPr>
      </w:pPr>
    </w:p>
    <w:p w14:paraId="7C01630C" w14:textId="424AA4DF" w:rsidR="00740513" w:rsidRPr="00740513" w:rsidRDefault="00DD59AB" w:rsidP="00E867F0">
      <w:pPr>
        <w:ind w:left="567" w:hanging="567"/>
        <w:jc w:val="both"/>
        <w:rPr>
          <w:rFonts w:ascii="Arial" w:eastAsia="Calibri" w:hAnsi="Arial" w:cs="Arial"/>
        </w:rPr>
      </w:pPr>
      <w:r>
        <w:rPr>
          <w:rFonts w:ascii="Arial" w:eastAsia="Calibri" w:hAnsi="Arial" w:cs="Arial"/>
        </w:rPr>
        <w:t>4</w:t>
      </w:r>
      <w:r w:rsidR="00EB1A84">
        <w:rPr>
          <w:rFonts w:ascii="Arial" w:eastAsia="Calibri" w:hAnsi="Arial" w:cs="Arial"/>
        </w:rPr>
        <w:t>5</w:t>
      </w:r>
      <w:r>
        <w:rPr>
          <w:rFonts w:ascii="Arial" w:eastAsia="Calibri" w:hAnsi="Arial" w:cs="Arial"/>
        </w:rPr>
        <w:t>.</w:t>
      </w:r>
      <w:r>
        <w:rPr>
          <w:rFonts w:ascii="Arial" w:eastAsia="Calibri" w:hAnsi="Arial" w:cs="Arial"/>
        </w:rPr>
        <w:tab/>
      </w:r>
      <w:r w:rsidR="00740513" w:rsidRPr="00740513">
        <w:rPr>
          <w:rFonts w:ascii="Arial" w:eastAsia="Calibri" w:hAnsi="Arial" w:cs="Arial"/>
        </w:rPr>
        <w:t xml:space="preserve">As they were named as respondents in the case, Fire and Rescue Authorities (FRAs) had to submit a defence to the legal challenge. This defence continues to be managed </w:t>
      </w:r>
      <w:r w:rsidR="00740513" w:rsidRPr="00740513">
        <w:rPr>
          <w:rFonts w:ascii="Arial" w:eastAsia="Calibri" w:hAnsi="Arial" w:cs="Arial"/>
        </w:rPr>
        <w:lastRenderedPageBreak/>
        <w:t xml:space="preserve">collectively on behalf of the FRAs by the LGA under the auspices of the National Employers and decisions have been taken by a central steering group which is comprised of a number of legal and HR advisers from varying types of fire and rescue services across the UK, the Advisory Forum legal adviser, employers’ secretariat, and from the LGA its Corporate Legal Adviser and a Senior Employment Law Adviser. </w:t>
      </w:r>
    </w:p>
    <w:p w14:paraId="5C41C3B6" w14:textId="77777777" w:rsidR="00740513" w:rsidRPr="00740513" w:rsidRDefault="00740513" w:rsidP="00E867F0">
      <w:pPr>
        <w:jc w:val="both"/>
        <w:rPr>
          <w:rFonts w:ascii="Arial" w:eastAsia="Calibri" w:hAnsi="Arial" w:cs="Arial"/>
        </w:rPr>
      </w:pPr>
    </w:p>
    <w:p w14:paraId="61FDFCCD" w14:textId="34D70099" w:rsidR="00740513" w:rsidRPr="00740513" w:rsidRDefault="00EB1A84" w:rsidP="00E867F0">
      <w:pPr>
        <w:ind w:left="567" w:hanging="567"/>
        <w:jc w:val="both"/>
        <w:rPr>
          <w:rFonts w:ascii="Arial" w:eastAsia="Calibri" w:hAnsi="Arial" w:cs="Arial"/>
        </w:rPr>
      </w:pPr>
      <w:r>
        <w:rPr>
          <w:rFonts w:ascii="Arial" w:eastAsia="Calibri" w:hAnsi="Arial" w:cs="Arial"/>
        </w:rPr>
        <w:t>46</w:t>
      </w:r>
      <w:r w:rsidR="00DD59AB">
        <w:rPr>
          <w:rFonts w:ascii="Arial" w:eastAsia="Calibri" w:hAnsi="Arial" w:cs="Arial"/>
        </w:rPr>
        <w:t>.</w:t>
      </w:r>
      <w:r w:rsidR="00DD59AB">
        <w:rPr>
          <w:rFonts w:ascii="Arial" w:eastAsia="Calibri" w:hAnsi="Arial" w:cs="Arial"/>
        </w:rPr>
        <w:tab/>
      </w:r>
      <w:r w:rsidR="00740513" w:rsidRPr="00740513">
        <w:rPr>
          <w:rFonts w:ascii="Arial" w:eastAsia="Calibri" w:hAnsi="Arial" w:cs="Arial"/>
        </w:rPr>
        <w:t xml:space="preserve">The Court of Appeal found that the transitional protections unlawfully discriminated on age and the case has now returned to the Employment Tribunal for it to determine remedy. Members will be aware that in common with its approach to a request from Government, the Supreme Court rejected the fire authorities’ application to appeal. </w:t>
      </w:r>
    </w:p>
    <w:p w14:paraId="67D81C96" w14:textId="77777777" w:rsidR="00740513" w:rsidRPr="00740513" w:rsidRDefault="00740513" w:rsidP="00E867F0">
      <w:pPr>
        <w:jc w:val="both"/>
        <w:rPr>
          <w:rFonts w:ascii="Arial" w:eastAsia="Calibri" w:hAnsi="Arial" w:cs="Arial"/>
        </w:rPr>
      </w:pPr>
    </w:p>
    <w:p w14:paraId="68CD97B5" w14:textId="27C4A5FC" w:rsidR="00740513" w:rsidRPr="00740513" w:rsidRDefault="00EB1A84" w:rsidP="00E867F0">
      <w:pPr>
        <w:ind w:left="567" w:hanging="567"/>
        <w:jc w:val="both"/>
        <w:rPr>
          <w:rFonts w:ascii="Arial" w:eastAsia="Calibri" w:hAnsi="Arial" w:cs="Arial"/>
        </w:rPr>
      </w:pPr>
      <w:r>
        <w:rPr>
          <w:rFonts w:ascii="Arial" w:eastAsia="Calibri" w:hAnsi="Arial" w:cs="Arial"/>
        </w:rPr>
        <w:t>47</w:t>
      </w:r>
      <w:r w:rsidR="00740513" w:rsidRPr="00740513">
        <w:rPr>
          <w:rFonts w:ascii="Arial" w:eastAsia="Calibri" w:hAnsi="Arial" w:cs="Arial"/>
        </w:rPr>
        <w:t>.</w:t>
      </w:r>
      <w:r w:rsidR="00031C67">
        <w:rPr>
          <w:rFonts w:ascii="Arial" w:eastAsia="Calibri" w:hAnsi="Arial" w:cs="Arial"/>
        </w:rPr>
        <w:tab/>
      </w:r>
      <w:r w:rsidR="00740513" w:rsidRPr="00740513">
        <w:rPr>
          <w:rFonts w:ascii="Arial" w:eastAsia="Calibri" w:hAnsi="Arial" w:cs="Arial"/>
        </w:rPr>
        <w:t xml:space="preserve">A case management preliminary hearing on remedy was held on 18 December 2019. An interim Order was agreed by all parties and the detail is contained in circular </w:t>
      </w:r>
      <w:hyperlink r:id="rId21" w:history="1">
        <w:r w:rsidR="00740513" w:rsidRPr="00740513">
          <w:rPr>
            <w:rStyle w:val="Hyperlink"/>
            <w:rFonts w:ascii="Arial" w:eastAsia="Calibri" w:hAnsi="Arial" w:cs="Arial"/>
          </w:rPr>
          <w:t>EMP/8/19</w:t>
        </w:r>
      </w:hyperlink>
      <w:r w:rsidR="00740513" w:rsidRPr="00740513">
        <w:rPr>
          <w:rFonts w:ascii="Arial" w:eastAsia="Calibri" w:hAnsi="Arial" w:cs="Arial"/>
        </w:rPr>
        <w:t xml:space="preserve">. The Order does not bind the parties beyond the limited interim period before the final declaration. </w:t>
      </w:r>
    </w:p>
    <w:p w14:paraId="3241E634" w14:textId="77777777" w:rsidR="00740513" w:rsidRPr="00740513" w:rsidRDefault="00740513" w:rsidP="00E867F0">
      <w:pPr>
        <w:jc w:val="both"/>
        <w:rPr>
          <w:rFonts w:ascii="Arial" w:eastAsia="Calibri" w:hAnsi="Arial" w:cs="Arial"/>
        </w:rPr>
      </w:pPr>
    </w:p>
    <w:p w14:paraId="25291E80" w14:textId="427FD0EF" w:rsidR="00740513" w:rsidRPr="00740513" w:rsidRDefault="00EB1A84" w:rsidP="00E867F0">
      <w:pPr>
        <w:ind w:left="567" w:hanging="567"/>
        <w:jc w:val="both"/>
        <w:rPr>
          <w:rFonts w:ascii="Arial" w:eastAsia="Calibri" w:hAnsi="Arial" w:cs="Arial"/>
        </w:rPr>
      </w:pPr>
      <w:r>
        <w:rPr>
          <w:rFonts w:ascii="Arial" w:eastAsia="Calibri" w:hAnsi="Arial" w:cs="Arial"/>
        </w:rPr>
        <w:t>48</w:t>
      </w:r>
      <w:r w:rsidR="00740513" w:rsidRPr="00740513">
        <w:rPr>
          <w:rFonts w:ascii="Arial" w:eastAsia="Calibri" w:hAnsi="Arial" w:cs="Arial"/>
        </w:rPr>
        <w:t>.</w:t>
      </w:r>
      <w:r w:rsidR="00031C67">
        <w:rPr>
          <w:rFonts w:ascii="Arial" w:eastAsia="Calibri" w:hAnsi="Arial" w:cs="Arial"/>
        </w:rPr>
        <w:tab/>
      </w:r>
      <w:r w:rsidR="00740513" w:rsidRPr="00740513">
        <w:rPr>
          <w:rFonts w:ascii="Arial" w:eastAsia="Calibri" w:hAnsi="Arial" w:cs="Arial"/>
        </w:rPr>
        <w:t xml:space="preserve">Paragraph 2 of the Order in effect provides that pending the final determination of all of the remedy issues, those that brought claims in England and Wales (the claimants) are entitled to be treated as if they remained in the in 1992 FPS. </w:t>
      </w:r>
    </w:p>
    <w:p w14:paraId="3583E486" w14:textId="77777777" w:rsidR="00740513" w:rsidRPr="00740513" w:rsidRDefault="00740513" w:rsidP="00E867F0">
      <w:pPr>
        <w:jc w:val="both"/>
        <w:rPr>
          <w:rFonts w:ascii="Arial" w:eastAsia="Calibri" w:hAnsi="Arial" w:cs="Arial"/>
        </w:rPr>
      </w:pPr>
    </w:p>
    <w:p w14:paraId="1FE2C239" w14:textId="4BE6D639" w:rsidR="00740513" w:rsidRPr="00031C67" w:rsidRDefault="00EB1A84" w:rsidP="00E867F0">
      <w:pPr>
        <w:ind w:left="567" w:hanging="567"/>
        <w:jc w:val="both"/>
        <w:rPr>
          <w:rFonts w:ascii="Arial" w:eastAsia="Calibri" w:hAnsi="Arial" w:cs="Arial"/>
        </w:rPr>
      </w:pPr>
      <w:r>
        <w:rPr>
          <w:rFonts w:ascii="Arial" w:eastAsia="Calibri" w:hAnsi="Arial" w:cs="Arial"/>
        </w:rPr>
        <w:t>49</w:t>
      </w:r>
      <w:r w:rsidR="00031C67">
        <w:rPr>
          <w:rFonts w:ascii="Arial" w:eastAsia="Calibri" w:hAnsi="Arial" w:cs="Arial"/>
        </w:rPr>
        <w:t>.</w:t>
      </w:r>
      <w:r w:rsidR="00031C67">
        <w:rPr>
          <w:rFonts w:ascii="Arial" w:eastAsia="Calibri" w:hAnsi="Arial" w:cs="Arial"/>
        </w:rPr>
        <w:tab/>
      </w:r>
      <w:r w:rsidR="00740513" w:rsidRPr="00031C67">
        <w:rPr>
          <w:rFonts w:ascii="Arial" w:eastAsia="Calibri" w:hAnsi="Arial" w:cs="Arial"/>
        </w:rPr>
        <w:t xml:space="preserve">The Order anticipated that the final determination on the remedy issue </w:t>
      </w:r>
      <w:proofErr w:type="gramStart"/>
      <w:r w:rsidR="00740513" w:rsidRPr="00031C67">
        <w:rPr>
          <w:rFonts w:ascii="Arial" w:eastAsia="Calibri" w:hAnsi="Arial" w:cs="Arial"/>
        </w:rPr>
        <w:t>in regards to</w:t>
      </w:r>
      <w:proofErr w:type="gramEnd"/>
      <w:r w:rsidR="00740513" w:rsidRPr="00031C67">
        <w:rPr>
          <w:rFonts w:ascii="Arial" w:eastAsia="Calibri" w:hAnsi="Arial" w:cs="Arial"/>
        </w:rPr>
        <w:t xml:space="preserve"> membership of the 1992 FPS </w:t>
      </w:r>
      <w:r w:rsidR="00816970">
        <w:rPr>
          <w:rFonts w:ascii="Arial" w:eastAsia="Calibri" w:hAnsi="Arial" w:cs="Arial"/>
        </w:rPr>
        <w:t>would</w:t>
      </w:r>
      <w:r w:rsidR="00816970" w:rsidRPr="00031C67">
        <w:rPr>
          <w:rFonts w:ascii="Arial" w:eastAsia="Calibri" w:hAnsi="Arial" w:cs="Arial"/>
        </w:rPr>
        <w:t xml:space="preserve"> </w:t>
      </w:r>
      <w:r w:rsidR="00740513" w:rsidRPr="00031C67">
        <w:rPr>
          <w:rFonts w:ascii="Arial" w:eastAsia="Calibri" w:hAnsi="Arial" w:cs="Arial"/>
        </w:rPr>
        <w:t>be resolved in 2020</w:t>
      </w:r>
      <w:r w:rsidR="00816970">
        <w:rPr>
          <w:rFonts w:ascii="Arial" w:eastAsia="Calibri" w:hAnsi="Arial" w:cs="Arial"/>
        </w:rPr>
        <w:t xml:space="preserve">. That </w:t>
      </w:r>
      <w:r w:rsidR="009458BF">
        <w:rPr>
          <w:rFonts w:ascii="Arial" w:eastAsia="Calibri" w:hAnsi="Arial" w:cs="Arial"/>
        </w:rPr>
        <w:t>year</w:t>
      </w:r>
      <w:r w:rsidR="00816970">
        <w:rPr>
          <w:rFonts w:ascii="Arial" w:eastAsia="Calibri" w:hAnsi="Arial" w:cs="Arial"/>
        </w:rPr>
        <w:t xml:space="preserve"> has passed</w:t>
      </w:r>
      <w:r w:rsidR="00740513" w:rsidRPr="00031C67">
        <w:rPr>
          <w:rFonts w:ascii="Arial" w:eastAsia="Calibri" w:hAnsi="Arial" w:cs="Arial"/>
        </w:rPr>
        <w:t xml:space="preserve"> </w:t>
      </w:r>
      <w:r w:rsidR="009458BF">
        <w:rPr>
          <w:rFonts w:ascii="Arial" w:eastAsia="Calibri" w:hAnsi="Arial" w:cs="Arial"/>
        </w:rPr>
        <w:t>but in any event</w:t>
      </w:r>
      <w:r w:rsidR="009458BF" w:rsidRPr="00031C67">
        <w:rPr>
          <w:rFonts w:ascii="Arial" w:eastAsia="Calibri" w:hAnsi="Arial" w:cs="Arial"/>
        </w:rPr>
        <w:t xml:space="preserve"> </w:t>
      </w:r>
      <w:r w:rsidR="009458BF">
        <w:rPr>
          <w:rFonts w:ascii="Arial" w:eastAsia="Calibri" w:hAnsi="Arial" w:cs="Arial"/>
        </w:rPr>
        <w:t>the outcome will</w:t>
      </w:r>
      <w:r w:rsidR="00740513" w:rsidRPr="00031C67">
        <w:rPr>
          <w:rFonts w:ascii="Arial" w:eastAsia="Calibri" w:hAnsi="Arial" w:cs="Arial"/>
        </w:rPr>
        <w:t xml:space="preserve"> be affected by what the </w:t>
      </w:r>
      <w:r w:rsidR="00816970">
        <w:rPr>
          <w:rFonts w:ascii="Arial" w:eastAsia="Calibri" w:hAnsi="Arial" w:cs="Arial"/>
        </w:rPr>
        <w:t xml:space="preserve">ultimate </w:t>
      </w:r>
      <w:r w:rsidR="00740513" w:rsidRPr="00031C67">
        <w:rPr>
          <w:rFonts w:ascii="Arial" w:eastAsia="Calibri" w:hAnsi="Arial" w:cs="Arial"/>
        </w:rPr>
        <w:t xml:space="preserve">outcome is on the FRA’s Schedule </w:t>
      </w:r>
      <w:r w:rsidR="00740513" w:rsidRPr="002077BF">
        <w:rPr>
          <w:rFonts w:ascii="Arial" w:eastAsia="Calibri" w:hAnsi="Arial" w:cs="Arial"/>
        </w:rPr>
        <w:t>22 appeal (see paragraph 5</w:t>
      </w:r>
      <w:r w:rsidRPr="002077BF">
        <w:rPr>
          <w:rFonts w:ascii="Arial" w:eastAsia="Calibri" w:hAnsi="Arial" w:cs="Arial"/>
        </w:rPr>
        <w:t>0</w:t>
      </w:r>
      <w:r w:rsidR="00740513" w:rsidRPr="002077BF">
        <w:rPr>
          <w:rFonts w:ascii="Arial" w:eastAsia="Calibri" w:hAnsi="Arial" w:cs="Arial"/>
        </w:rPr>
        <w:t xml:space="preserve"> below). It should be noted that </w:t>
      </w:r>
      <w:r w:rsidR="009458BF" w:rsidRPr="002077BF">
        <w:rPr>
          <w:rFonts w:ascii="Arial" w:eastAsia="Calibri" w:hAnsi="Arial" w:cs="Arial"/>
        </w:rPr>
        <w:t>irrespective of the Schedule</w:t>
      </w:r>
      <w:r w:rsidR="009458BF">
        <w:rPr>
          <w:rFonts w:ascii="Arial" w:eastAsia="Calibri" w:hAnsi="Arial" w:cs="Arial"/>
        </w:rPr>
        <w:t xml:space="preserve"> 22 issue</w:t>
      </w:r>
      <w:r w:rsidR="00740513" w:rsidRPr="00031C67">
        <w:rPr>
          <w:rFonts w:ascii="Arial" w:eastAsia="Calibri" w:hAnsi="Arial" w:cs="Arial"/>
        </w:rPr>
        <w:t xml:space="preserve"> it may be some time before this remedy can be put into effect </w:t>
      </w:r>
      <w:r w:rsidR="009458BF">
        <w:rPr>
          <w:rFonts w:ascii="Arial" w:eastAsia="Calibri" w:hAnsi="Arial" w:cs="Arial"/>
        </w:rPr>
        <w:t xml:space="preserve">fully </w:t>
      </w:r>
      <w:r w:rsidR="00740513" w:rsidRPr="00031C67">
        <w:rPr>
          <w:rFonts w:ascii="Arial" w:eastAsia="Calibri" w:hAnsi="Arial" w:cs="Arial"/>
        </w:rPr>
        <w:t xml:space="preserve">for all claimants. Furthermore, there may be other issues relating to remedies to be resolved, for example </w:t>
      </w:r>
      <w:proofErr w:type="gramStart"/>
      <w:r w:rsidR="00740513" w:rsidRPr="00031C67">
        <w:rPr>
          <w:rFonts w:ascii="Arial" w:eastAsia="Calibri" w:hAnsi="Arial" w:cs="Arial"/>
        </w:rPr>
        <w:t>in regards to</w:t>
      </w:r>
      <w:proofErr w:type="gramEnd"/>
      <w:r w:rsidR="00740513" w:rsidRPr="00031C67">
        <w:rPr>
          <w:rFonts w:ascii="Arial" w:eastAsia="Calibri" w:hAnsi="Arial" w:cs="Arial"/>
        </w:rPr>
        <w:t xml:space="preserve"> claims for injury to feelings. It should also be noted that the Order does not cover those who did not bring claims (non-claimants). However, discussions are taking place on how to provide a remedy for those non-claimants as appropriate. </w:t>
      </w:r>
    </w:p>
    <w:p w14:paraId="499CD0BD" w14:textId="77777777" w:rsidR="00740513" w:rsidRPr="00740513" w:rsidRDefault="00740513" w:rsidP="00E867F0">
      <w:pPr>
        <w:jc w:val="both"/>
        <w:rPr>
          <w:rFonts w:ascii="Arial" w:eastAsia="Calibri" w:hAnsi="Arial" w:cs="Arial"/>
        </w:rPr>
      </w:pPr>
    </w:p>
    <w:p w14:paraId="2000AF64" w14:textId="50EDCD9F" w:rsidR="00740513" w:rsidRPr="00740513" w:rsidRDefault="00031C67" w:rsidP="00811CA7">
      <w:pPr>
        <w:ind w:left="567" w:hanging="567"/>
        <w:jc w:val="both"/>
        <w:rPr>
          <w:rFonts w:ascii="Arial" w:eastAsia="Calibri" w:hAnsi="Arial" w:cs="Arial"/>
        </w:rPr>
      </w:pPr>
      <w:r w:rsidRPr="49F2994D">
        <w:rPr>
          <w:rFonts w:ascii="Arial" w:eastAsia="Calibri" w:hAnsi="Arial" w:cs="Arial"/>
        </w:rPr>
        <w:t>5</w:t>
      </w:r>
      <w:r w:rsidR="00EB1A84">
        <w:rPr>
          <w:rFonts w:ascii="Arial" w:eastAsia="Calibri" w:hAnsi="Arial" w:cs="Arial"/>
        </w:rPr>
        <w:t>0</w:t>
      </w:r>
      <w:r w:rsidR="00740513" w:rsidRPr="49F2994D">
        <w:rPr>
          <w:rFonts w:ascii="Arial" w:eastAsia="Calibri" w:hAnsi="Arial" w:cs="Arial"/>
        </w:rPr>
        <w:t>.</w:t>
      </w:r>
      <w:r>
        <w:tab/>
      </w:r>
      <w:r w:rsidR="00740513" w:rsidRPr="49F2994D">
        <w:rPr>
          <w:rFonts w:ascii="Arial" w:eastAsia="Calibri" w:hAnsi="Arial" w:cs="Arial"/>
        </w:rPr>
        <w:t xml:space="preserve">In addition, the FRAs </w:t>
      </w:r>
      <w:r w:rsidR="00086372" w:rsidRPr="49F2994D">
        <w:rPr>
          <w:rFonts w:ascii="Arial" w:eastAsia="Calibri" w:hAnsi="Arial" w:cs="Arial"/>
        </w:rPr>
        <w:t>had</w:t>
      </w:r>
      <w:r w:rsidR="00740513" w:rsidRPr="49F2994D">
        <w:rPr>
          <w:rFonts w:ascii="Arial" w:eastAsia="Calibri" w:hAnsi="Arial" w:cs="Arial"/>
        </w:rPr>
        <w:t xml:space="preserve"> the separate appeal </w:t>
      </w:r>
      <w:r w:rsidR="005C3511" w:rsidRPr="49F2994D">
        <w:rPr>
          <w:rFonts w:ascii="Arial" w:eastAsia="Calibri" w:hAnsi="Arial" w:cs="Arial"/>
        </w:rPr>
        <w:t xml:space="preserve">to the Employment Appeal Tribunal (EAT) </w:t>
      </w:r>
      <w:r w:rsidR="00740513" w:rsidRPr="49F2994D">
        <w:rPr>
          <w:rFonts w:ascii="Arial" w:eastAsia="Calibri" w:hAnsi="Arial" w:cs="Arial"/>
        </w:rPr>
        <w:t>in relation to their potential defence under Schedule 22 (which is that the FRAs had no choice but to follow the Government's legislation) which again was fully considered with the Steering Committee and legal representatives. The appeal was heard at the EAT on 16 December 2020</w:t>
      </w:r>
      <w:r w:rsidR="00FE54F1" w:rsidRPr="49F2994D">
        <w:rPr>
          <w:rFonts w:ascii="Arial" w:eastAsia="Calibri" w:hAnsi="Arial" w:cs="Arial"/>
        </w:rPr>
        <w:t xml:space="preserve"> and </w:t>
      </w:r>
      <w:r w:rsidR="000A0CD7" w:rsidRPr="49F2994D">
        <w:rPr>
          <w:rFonts w:ascii="Arial" w:eastAsia="Calibri" w:hAnsi="Arial" w:cs="Arial"/>
        </w:rPr>
        <w:t xml:space="preserve">the </w:t>
      </w:r>
      <w:r w:rsidR="00811CA7" w:rsidRPr="49F2994D">
        <w:rPr>
          <w:rFonts w:ascii="Arial" w:eastAsia="Calibri" w:hAnsi="Arial" w:cs="Arial"/>
        </w:rPr>
        <w:t xml:space="preserve">judgment </w:t>
      </w:r>
      <w:r w:rsidR="00D82829" w:rsidRPr="49F2994D">
        <w:rPr>
          <w:rFonts w:ascii="Arial" w:eastAsia="Calibri" w:hAnsi="Arial" w:cs="Arial"/>
        </w:rPr>
        <w:t xml:space="preserve">was issued </w:t>
      </w:r>
      <w:r w:rsidR="00811CA7" w:rsidRPr="49F2994D">
        <w:rPr>
          <w:rFonts w:ascii="Arial" w:eastAsia="Calibri" w:hAnsi="Arial" w:cs="Arial"/>
        </w:rPr>
        <w:t xml:space="preserve">on </w:t>
      </w:r>
      <w:r w:rsidR="007F02CC" w:rsidRPr="49F2994D">
        <w:rPr>
          <w:rFonts w:ascii="Arial" w:eastAsia="Calibri" w:hAnsi="Arial" w:cs="Arial"/>
        </w:rPr>
        <w:t>12</w:t>
      </w:r>
      <w:r w:rsidR="007F02CC" w:rsidRPr="49F2994D">
        <w:rPr>
          <w:rFonts w:ascii="Arial" w:eastAsia="Calibri" w:hAnsi="Arial" w:cs="Arial"/>
          <w:vertAlign w:val="superscript"/>
        </w:rPr>
        <w:t>th</w:t>
      </w:r>
      <w:r w:rsidR="007F02CC" w:rsidRPr="49F2994D">
        <w:rPr>
          <w:rFonts w:ascii="Arial" w:eastAsia="Calibri" w:hAnsi="Arial" w:cs="Arial"/>
        </w:rPr>
        <w:t xml:space="preserve"> February. </w:t>
      </w:r>
      <w:r w:rsidR="00811CA7" w:rsidRPr="49F2994D">
        <w:rPr>
          <w:rFonts w:ascii="Arial" w:eastAsia="Calibri" w:hAnsi="Arial" w:cs="Arial"/>
        </w:rPr>
        <w:t xml:space="preserve">The EAT held that the FRAs cannot rely on the Schedule 22 defence. </w:t>
      </w:r>
      <w:r w:rsidR="004B76E4" w:rsidRPr="49F2994D">
        <w:rPr>
          <w:rFonts w:ascii="Arial" w:eastAsia="Calibri" w:hAnsi="Arial" w:cs="Arial"/>
        </w:rPr>
        <w:t>Consideration is now being given with the Steering Committee and legal representatives to whether it is appropriate to appeal the judgment</w:t>
      </w:r>
      <w:r w:rsidR="009A5107" w:rsidRPr="49F2994D">
        <w:rPr>
          <w:rFonts w:ascii="Arial" w:eastAsia="Calibri" w:hAnsi="Arial" w:cs="Arial"/>
        </w:rPr>
        <w:t xml:space="preserve"> to the Court of Appeal</w:t>
      </w:r>
      <w:r w:rsidR="004B76E4" w:rsidRPr="49F2994D">
        <w:rPr>
          <w:rFonts w:ascii="Arial" w:eastAsia="Calibri" w:hAnsi="Arial" w:cs="Arial"/>
        </w:rPr>
        <w:t xml:space="preserve">. </w:t>
      </w:r>
      <w:r w:rsidR="005279E5" w:rsidRPr="49F2994D">
        <w:rPr>
          <w:rFonts w:ascii="Arial" w:eastAsia="Calibri" w:hAnsi="Arial" w:cs="Arial"/>
        </w:rPr>
        <w:t>For legal privilege</w:t>
      </w:r>
      <w:r w:rsidR="009A5107" w:rsidRPr="49F2994D">
        <w:rPr>
          <w:rFonts w:ascii="Arial" w:eastAsia="Calibri" w:hAnsi="Arial" w:cs="Arial"/>
        </w:rPr>
        <w:t xml:space="preserve"> </w:t>
      </w:r>
      <w:r w:rsidR="005279E5" w:rsidRPr="49F2994D">
        <w:rPr>
          <w:rFonts w:ascii="Arial" w:eastAsia="Calibri" w:hAnsi="Arial" w:cs="Arial"/>
        </w:rPr>
        <w:t>reasons, f</w:t>
      </w:r>
      <w:r w:rsidR="00811CA7" w:rsidRPr="49F2994D">
        <w:rPr>
          <w:rFonts w:ascii="Arial" w:eastAsia="Calibri" w:hAnsi="Arial" w:cs="Arial"/>
        </w:rPr>
        <w:t xml:space="preserve">urther information has been provided to the person nominated by your service to receive communications in respect of this, and related, legal cases. </w:t>
      </w:r>
    </w:p>
    <w:p w14:paraId="555542CE" w14:textId="77777777" w:rsidR="00740513" w:rsidRPr="00740513" w:rsidRDefault="00740513" w:rsidP="00E867F0">
      <w:pPr>
        <w:jc w:val="both"/>
        <w:rPr>
          <w:rFonts w:ascii="Arial" w:eastAsia="Calibri" w:hAnsi="Arial" w:cs="Arial"/>
        </w:rPr>
      </w:pPr>
    </w:p>
    <w:p w14:paraId="42F0AA82" w14:textId="789263D6" w:rsidR="00740513" w:rsidRPr="00740513" w:rsidRDefault="00031C67" w:rsidP="00E867F0">
      <w:pPr>
        <w:ind w:left="567" w:hanging="567"/>
        <w:jc w:val="both"/>
        <w:rPr>
          <w:rFonts w:ascii="Arial" w:eastAsia="Calibri" w:hAnsi="Arial" w:cs="Arial"/>
        </w:rPr>
      </w:pPr>
      <w:r>
        <w:rPr>
          <w:rFonts w:ascii="Arial" w:eastAsia="Calibri" w:hAnsi="Arial" w:cs="Arial"/>
        </w:rPr>
        <w:t>5</w:t>
      </w:r>
      <w:r w:rsidR="00EB1A84">
        <w:rPr>
          <w:rFonts w:ascii="Arial" w:eastAsia="Calibri" w:hAnsi="Arial" w:cs="Arial"/>
        </w:rPr>
        <w:t>1</w:t>
      </w:r>
      <w:r w:rsidR="00740513" w:rsidRPr="00740513">
        <w:rPr>
          <w:rFonts w:ascii="Arial" w:eastAsia="Calibri" w:hAnsi="Arial" w:cs="Arial"/>
        </w:rPr>
        <w:t>.</w:t>
      </w:r>
      <w:r>
        <w:rPr>
          <w:rFonts w:ascii="Arial" w:eastAsia="Calibri" w:hAnsi="Arial" w:cs="Arial"/>
        </w:rPr>
        <w:tab/>
      </w:r>
      <w:r w:rsidR="00740513" w:rsidRPr="00740513">
        <w:rPr>
          <w:rFonts w:ascii="Arial" w:eastAsia="Calibri" w:hAnsi="Arial" w:cs="Arial"/>
        </w:rPr>
        <w:t xml:space="preserve">Since the outset, the position of FRAs that any costs arising from these cases should be met by governments has been made clear. Work continues with legal representatives on appropriate approaches to reinforce that position. Most recently, a formal letter has been sent to government on behalf of FRAs. The same action has been taken in respect of Wales, Scotland and Northern Ireland as the National Employers is a UK-wide body. Substantive responses are awaited, and </w:t>
      </w:r>
      <w:r w:rsidR="007651F3">
        <w:rPr>
          <w:rFonts w:ascii="Arial" w:eastAsia="Calibri" w:hAnsi="Arial" w:cs="Arial"/>
        </w:rPr>
        <w:t xml:space="preserve">several </w:t>
      </w:r>
      <w:r w:rsidR="00740513" w:rsidRPr="00740513">
        <w:rPr>
          <w:rFonts w:ascii="Arial" w:eastAsia="Calibri" w:hAnsi="Arial" w:cs="Arial"/>
        </w:rPr>
        <w:t xml:space="preserve">reminder letters have been sent. </w:t>
      </w:r>
    </w:p>
    <w:p w14:paraId="70F21C15" w14:textId="77777777" w:rsidR="00031C67" w:rsidRDefault="00031C67" w:rsidP="00E867F0">
      <w:pPr>
        <w:jc w:val="both"/>
        <w:rPr>
          <w:rFonts w:ascii="Arial" w:eastAsia="Calibri" w:hAnsi="Arial" w:cs="Arial"/>
          <w:i/>
          <w:iCs/>
        </w:rPr>
      </w:pPr>
    </w:p>
    <w:p w14:paraId="25CA169E" w14:textId="1F007E18" w:rsidR="00740513" w:rsidRPr="00740513" w:rsidRDefault="00740513" w:rsidP="00E867F0">
      <w:pPr>
        <w:ind w:firstLine="567"/>
        <w:jc w:val="both"/>
        <w:rPr>
          <w:rFonts w:ascii="Arial" w:eastAsia="Calibri" w:hAnsi="Arial" w:cs="Arial"/>
        </w:rPr>
      </w:pPr>
      <w:r w:rsidRPr="00740513">
        <w:rPr>
          <w:rFonts w:ascii="Arial" w:eastAsia="Calibri" w:hAnsi="Arial" w:cs="Arial"/>
          <w:i/>
          <w:iCs/>
        </w:rPr>
        <w:lastRenderedPageBreak/>
        <w:t xml:space="preserve">Defence of other categories of claims </w:t>
      </w:r>
    </w:p>
    <w:p w14:paraId="68995C04" w14:textId="77777777" w:rsidR="00936AC5" w:rsidRDefault="00936AC5" w:rsidP="00E867F0">
      <w:pPr>
        <w:jc w:val="both"/>
        <w:rPr>
          <w:rFonts w:ascii="Arial" w:eastAsia="Calibri" w:hAnsi="Arial" w:cs="Arial"/>
        </w:rPr>
      </w:pPr>
    </w:p>
    <w:p w14:paraId="54D2799F" w14:textId="4570856C" w:rsidR="00740513" w:rsidRPr="00740513" w:rsidRDefault="00936AC5" w:rsidP="00E867F0">
      <w:pPr>
        <w:ind w:left="567" w:hanging="567"/>
        <w:jc w:val="both"/>
        <w:rPr>
          <w:rFonts w:ascii="Arial" w:eastAsia="Calibri" w:hAnsi="Arial" w:cs="Arial"/>
        </w:rPr>
      </w:pPr>
      <w:r>
        <w:rPr>
          <w:rFonts w:ascii="Arial" w:eastAsia="Calibri" w:hAnsi="Arial" w:cs="Arial"/>
        </w:rPr>
        <w:t>5</w:t>
      </w:r>
      <w:r w:rsidR="00EB1A84">
        <w:rPr>
          <w:rFonts w:ascii="Arial" w:eastAsia="Calibri" w:hAnsi="Arial" w:cs="Arial"/>
        </w:rPr>
        <w:t>2</w:t>
      </w:r>
      <w:r w:rsidR="00740513" w:rsidRPr="00740513">
        <w:rPr>
          <w:rFonts w:ascii="Arial" w:eastAsia="Calibri" w:hAnsi="Arial" w:cs="Arial"/>
        </w:rPr>
        <w:t xml:space="preserve">. </w:t>
      </w:r>
      <w:r>
        <w:rPr>
          <w:rFonts w:ascii="Arial" w:eastAsia="Calibri" w:hAnsi="Arial" w:cs="Arial"/>
        </w:rPr>
        <w:tab/>
      </w:r>
      <w:r w:rsidR="00740513" w:rsidRPr="00740513">
        <w:rPr>
          <w:rFonts w:ascii="Arial" w:eastAsia="Calibri" w:hAnsi="Arial" w:cs="Arial"/>
        </w:rPr>
        <w:t xml:space="preserve">Another related category of employment tribunal </w:t>
      </w:r>
      <w:proofErr w:type="gramStart"/>
      <w:r w:rsidR="00740513" w:rsidRPr="00740513">
        <w:rPr>
          <w:rFonts w:ascii="Arial" w:eastAsia="Calibri" w:hAnsi="Arial" w:cs="Arial"/>
        </w:rPr>
        <w:t>claims</w:t>
      </w:r>
      <w:proofErr w:type="gramEnd"/>
      <w:r w:rsidR="00740513" w:rsidRPr="00740513">
        <w:rPr>
          <w:rFonts w:ascii="Arial" w:eastAsia="Calibri" w:hAnsi="Arial" w:cs="Arial"/>
        </w:rPr>
        <w:t xml:space="preserve"> has been issued by the Fire Brigades Union against fire and rescue authorities on behalf of firefighters. In short, the claims relate to members of the 2006 Scheme who were not transferred to the 2015 Scheme (and never will be), which they claim would have provided them with better benefits. </w:t>
      </w:r>
    </w:p>
    <w:p w14:paraId="2990BAE1" w14:textId="77777777" w:rsidR="00740513" w:rsidRPr="00740513" w:rsidRDefault="00740513" w:rsidP="00E867F0">
      <w:pPr>
        <w:jc w:val="both"/>
        <w:rPr>
          <w:rFonts w:ascii="Arial" w:eastAsia="Calibri" w:hAnsi="Arial" w:cs="Arial"/>
        </w:rPr>
      </w:pPr>
    </w:p>
    <w:p w14:paraId="305E15B8" w14:textId="1445160E" w:rsidR="00740513" w:rsidRPr="00740513" w:rsidRDefault="00936AC5" w:rsidP="00E867F0">
      <w:pPr>
        <w:ind w:left="567" w:hanging="567"/>
        <w:jc w:val="both"/>
        <w:rPr>
          <w:rFonts w:ascii="Arial" w:eastAsia="Calibri" w:hAnsi="Arial" w:cs="Arial"/>
        </w:rPr>
      </w:pPr>
      <w:r>
        <w:rPr>
          <w:rFonts w:ascii="Arial" w:eastAsia="Calibri" w:hAnsi="Arial" w:cs="Arial"/>
        </w:rPr>
        <w:t>5</w:t>
      </w:r>
      <w:r w:rsidR="00EB1A84">
        <w:rPr>
          <w:rFonts w:ascii="Arial" w:eastAsia="Calibri" w:hAnsi="Arial" w:cs="Arial"/>
        </w:rPr>
        <w:t>3</w:t>
      </w:r>
      <w:r w:rsidR="00740513" w:rsidRPr="00740513">
        <w:rPr>
          <w:rFonts w:ascii="Arial" w:eastAsia="Calibri" w:hAnsi="Arial" w:cs="Arial"/>
        </w:rPr>
        <w:t>.</w:t>
      </w:r>
      <w:r>
        <w:rPr>
          <w:rFonts w:ascii="Arial" w:eastAsia="Calibri" w:hAnsi="Arial" w:cs="Arial"/>
        </w:rPr>
        <w:tab/>
      </w:r>
      <w:r w:rsidR="00740513" w:rsidRPr="00740513">
        <w:rPr>
          <w:rFonts w:ascii="Arial" w:eastAsia="Calibri" w:hAnsi="Arial" w:cs="Arial"/>
        </w:rPr>
        <w:t xml:space="preserve">We approached FRAs to seek their views on whether they would like the LGA, along with the Steering Committee to coordinate the defence of the new claims on their behalf, as we have done for the original claims. This would be on a cost-sharing basis, based on headcount, as they are for the original claims. The overwhelming majority of respondents were in favour and defences have now been submitted on behalf of the FRAs who have to date received claims. </w:t>
      </w:r>
    </w:p>
    <w:p w14:paraId="2473EE5D" w14:textId="77777777" w:rsidR="00740513" w:rsidRPr="00740513" w:rsidRDefault="00740513" w:rsidP="00E867F0">
      <w:pPr>
        <w:jc w:val="both"/>
        <w:rPr>
          <w:rFonts w:ascii="Arial" w:eastAsia="Calibri" w:hAnsi="Arial" w:cs="Arial"/>
        </w:rPr>
      </w:pPr>
    </w:p>
    <w:p w14:paraId="0E8C3A4F" w14:textId="78241E06" w:rsidR="00740513" w:rsidRPr="00740513" w:rsidRDefault="00936AC5" w:rsidP="00E867F0">
      <w:pPr>
        <w:ind w:left="567" w:hanging="567"/>
        <w:jc w:val="both"/>
        <w:rPr>
          <w:rFonts w:ascii="Arial" w:eastAsia="Calibri" w:hAnsi="Arial" w:cs="Arial"/>
        </w:rPr>
      </w:pPr>
      <w:r>
        <w:rPr>
          <w:rFonts w:ascii="Arial" w:eastAsia="Calibri" w:hAnsi="Arial" w:cs="Arial"/>
        </w:rPr>
        <w:t>5</w:t>
      </w:r>
      <w:r w:rsidR="00EB1A84">
        <w:rPr>
          <w:rFonts w:ascii="Arial" w:eastAsia="Calibri" w:hAnsi="Arial" w:cs="Arial"/>
        </w:rPr>
        <w:t>4</w:t>
      </w:r>
      <w:r w:rsidR="00740513" w:rsidRPr="00740513">
        <w:rPr>
          <w:rFonts w:ascii="Arial" w:eastAsia="Calibri" w:hAnsi="Arial" w:cs="Arial"/>
        </w:rPr>
        <w:t>.</w:t>
      </w:r>
      <w:r>
        <w:rPr>
          <w:rFonts w:ascii="Arial" w:eastAsia="Calibri" w:hAnsi="Arial" w:cs="Arial"/>
        </w:rPr>
        <w:tab/>
      </w:r>
      <w:r w:rsidR="00740513" w:rsidRPr="00740513">
        <w:rPr>
          <w:rFonts w:ascii="Arial" w:eastAsia="Calibri" w:hAnsi="Arial" w:cs="Arial"/>
        </w:rPr>
        <w:t xml:space="preserve">Furthermore, another related category of employment tribunal </w:t>
      </w:r>
      <w:proofErr w:type="gramStart"/>
      <w:r w:rsidR="00740513" w:rsidRPr="00740513">
        <w:rPr>
          <w:rFonts w:ascii="Arial" w:eastAsia="Calibri" w:hAnsi="Arial" w:cs="Arial"/>
        </w:rPr>
        <w:t>cases</w:t>
      </w:r>
      <w:proofErr w:type="gramEnd"/>
      <w:r w:rsidR="00740513" w:rsidRPr="00740513">
        <w:rPr>
          <w:rFonts w:ascii="Arial" w:eastAsia="Calibri" w:hAnsi="Arial" w:cs="Arial"/>
        </w:rPr>
        <w:t xml:space="preserve"> has emerged. These have been issued by Slater and Gordon solicitors against fire and rescue authorities on behalf of firefighters. Slater and Gordon </w:t>
      </w:r>
      <w:proofErr w:type="gramStart"/>
      <w:r w:rsidR="00740513" w:rsidRPr="00740513">
        <w:rPr>
          <w:rFonts w:ascii="Arial" w:eastAsia="Calibri" w:hAnsi="Arial" w:cs="Arial"/>
        </w:rPr>
        <w:t>is</w:t>
      </w:r>
      <w:proofErr w:type="gramEnd"/>
      <w:r w:rsidR="00740513" w:rsidRPr="00740513">
        <w:rPr>
          <w:rFonts w:ascii="Arial" w:eastAsia="Calibri" w:hAnsi="Arial" w:cs="Arial"/>
        </w:rPr>
        <w:t xml:space="preserve"> working with the Fire Officers Association. In short, the claims are of the same type as the main claims brought by the FBU on behalf of their members in that they allege that the transfer of younger firefighters to the 2015 pension scheme amounts to age discrimination. We anticipate the claims have been brought </w:t>
      </w:r>
      <w:proofErr w:type="gramStart"/>
      <w:r w:rsidR="00740513" w:rsidRPr="00740513">
        <w:rPr>
          <w:rFonts w:ascii="Arial" w:eastAsia="Calibri" w:hAnsi="Arial" w:cs="Arial"/>
        </w:rPr>
        <w:t>in order to</w:t>
      </w:r>
      <w:proofErr w:type="gramEnd"/>
      <w:r w:rsidR="00740513" w:rsidRPr="00740513">
        <w:rPr>
          <w:rFonts w:ascii="Arial" w:eastAsia="Calibri" w:hAnsi="Arial" w:cs="Arial"/>
        </w:rPr>
        <w:t xml:space="preserve"> protect these particular claimants’ position in relation to any injury to feelings award. </w:t>
      </w:r>
    </w:p>
    <w:p w14:paraId="34A597FB" w14:textId="77777777" w:rsidR="00740513" w:rsidRPr="00740513" w:rsidRDefault="00740513" w:rsidP="00E867F0">
      <w:pPr>
        <w:jc w:val="both"/>
        <w:rPr>
          <w:rFonts w:ascii="Arial" w:eastAsia="Calibri" w:hAnsi="Arial" w:cs="Arial"/>
        </w:rPr>
      </w:pPr>
    </w:p>
    <w:p w14:paraId="4FC44343" w14:textId="5E2CD02D" w:rsidR="00740513" w:rsidRPr="00740513" w:rsidRDefault="00936AC5" w:rsidP="00E867F0">
      <w:pPr>
        <w:ind w:left="567" w:hanging="567"/>
        <w:jc w:val="both"/>
        <w:rPr>
          <w:rFonts w:ascii="Arial" w:eastAsia="Calibri" w:hAnsi="Arial" w:cs="Arial"/>
        </w:rPr>
      </w:pPr>
      <w:r>
        <w:rPr>
          <w:rFonts w:ascii="Arial" w:eastAsia="Calibri" w:hAnsi="Arial" w:cs="Arial"/>
        </w:rPr>
        <w:t>5</w:t>
      </w:r>
      <w:r w:rsidR="00EB1A84">
        <w:rPr>
          <w:rFonts w:ascii="Arial" w:eastAsia="Calibri" w:hAnsi="Arial" w:cs="Arial"/>
        </w:rPr>
        <w:t>5</w:t>
      </w:r>
      <w:r w:rsidR="00740513" w:rsidRPr="00740513">
        <w:rPr>
          <w:rFonts w:ascii="Arial" w:eastAsia="Calibri" w:hAnsi="Arial" w:cs="Arial"/>
        </w:rPr>
        <w:t xml:space="preserve">. </w:t>
      </w:r>
      <w:r>
        <w:rPr>
          <w:rFonts w:ascii="Arial" w:eastAsia="Calibri" w:hAnsi="Arial" w:cs="Arial"/>
        </w:rPr>
        <w:tab/>
      </w:r>
      <w:r w:rsidR="00740513" w:rsidRPr="00740513">
        <w:rPr>
          <w:rFonts w:ascii="Arial" w:eastAsia="Calibri" w:hAnsi="Arial" w:cs="Arial"/>
        </w:rPr>
        <w:t xml:space="preserve">We again asked FRAs if they would like the LGA, along with the Steering Committee made up of representatives from fire authorities, to coordinate the defence of these new claims on their behalf, as we have done for the original claims. The overwhelming majority of respondents were in favour and we have therefore taken this forward and submitted defences. Once submitted the claims have been stayed pending developments in the original proceedings. </w:t>
      </w:r>
    </w:p>
    <w:p w14:paraId="37553B54" w14:textId="77777777" w:rsidR="00740513" w:rsidRPr="00740513" w:rsidRDefault="00740513" w:rsidP="00E867F0">
      <w:pPr>
        <w:jc w:val="both"/>
        <w:rPr>
          <w:rFonts w:ascii="Arial" w:eastAsia="Calibri" w:hAnsi="Arial" w:cs="Arial"/>
        </w:rPr>
      </w:pPr>
    </w:p>
    <w:p w14:paraId="5BD1E51F" w14:textId="77777777" w:rsidR="00740513" w:rsidRPr="00740513" w:rsidRDefault="00740513" w:rsidP="00E867F0">
      <w:pPr>
        <w:jc w:val="both"/>
        <w:rPr>
          <w:rFonts w:ascii="Arial" w:eastAsia="Calibri" w:hAnsi="Arial" w:cs="Arial"/>
        </w:rPr>
      </w:pPr>
      <w:r w:rsidRPr="00740513">
        <w:rPr>
          <w:rFonts w:ascii="Arial" w:eastAsia="Calibri" w:hAnsi="Arial" w:cs="Arial"/>
          <w:b/>
          <w:bCs/>
        </w:rPr>
        <w:t xml:space="preserve">Matthews &amp; others v Kent &amp; Medway Towns Fire Authority &amp; others </w:t>
      </w:r>
    </w:p>
    <w:p w14:paraId="46019D63" w14:textId="77777777" w:rsidR="00936AC5" w:rsidRDefault="00936AC5" w:rsidP="00E867F0">
      <w:pPr>
        <w:jc w:val="both"/>
        <w:rPr>
          <w:rFonts w:ascii="Arial" w:eastAsia="Calibri" w:hAnsi="Arial" w:cs="Arial"/>
        </w:rPr>
      </w:pPr>
    </w:p>
    <w:p w14:paraId="1E4FCDC6" w14:textId="4C45CCE8" w:rsidR="00740513" w:rsidRPr="00740513" w:rsidRDefault="00EB1A84" w:rsidP="0068293C">
      <w:pPr>
        <w:ind w:left="567" w:hanging="567"/>
        <w:jc w:val="both"/>
        <w:rPr>
          <w:rFonts w:ascii="Arial" w:eastAsia="Calibri" w:hAnsi="Arial" w:cs="Arial"/>
        </w:rPr>
      </w:pPr>
      <w:r>
        <w:rPr>
          <w:rFonts w:ascii="Arial" w:eastAsia="Calibri" w:hAnsi="Arial" w:cs="Arial"/>
        </w:rPr>
        <w:t>56</w:t>
      </w:r>
      <w:r w:rsidR="00936AC5">
        <w:rPr>
          <w:rFonts w:ascii="Arial" w:eastAsia="Calibri" w:hAnsi="Arial" w:cs="Arial"/>
        </w:rPr>
        <w:t xml:space="preserve">. </w:t>
      </w:r>
      <w:r w:rsidR="00936AC5">
        <w:rPr>
          <w:rFonts w:ascii="Arial" w:eastAsia="Calibri" w:hAnsi="Arial" w:cs="Arial"/>
        </w:rPr>
        <w:tab/>
      </w:r>
      <w:r w:rsidR="00740513" w:rsidRPr="00740513">
        <w:rPr>
          <w:rFonts w:ascii="Arial" w:eastAsia="Calibri" w:hAnsi="Arial" w:cs="Arial"/>
        </w:rPr>
        <w:t xml:space="preserve">This case relates to application of the Part-time Workers (Prevention of Less Favourable Treatment) Regulations 2000 to retained duty system employees. Those Regulations were brought into force to implement the EU Part-time Workers Directive. </w:t>
      </w:r>
    </w:p>
    <w:p w14:paraId="7695F3E7" w14:textId="77777777" w:rsidR="00740513" w:rsidRPr="00740513" w:rsidRDefault="00740513" w:rsidP="0068293C">
      <w:pPr>
        <w:ind w:left="567" w:hanging="567"/>
        <w:jc w:val="both"/>
        <w:rPr>
          <w:rFonts w:ascii="Arial" w:eastAsia="Calibri" w:hAnsi="Arial" w:cs="Arial"/>
        </w:rPr>
      </w:pPr>
    </w:p>
    <w:p w14:paraId="26CA0C7B" w14:textId="2F538E19" w:rsidR="00740513" w:rsidRPr="00740513" w:rsidRDefault="00EB1A84" w:rsidP="0068293C">
      <w:pPr>
        <w:ind w:left="567" w:hanging="567"/>
        <w:jc w:val="both"/>
        <w:rPr>
          <w:rFonts w:ascii="Arial" w:eastAsia="Calibri" w:hAnsi="Arial" w:cs="Arial"/>
        </w:rPr>
      </w:pPr>
      <w:r>
        <w:rPr>
          <w:rFonts w:ascii="Arial" w:eastAsia="Calibri" w:hAnsi="Arial" w:cs="Arial"/>
        </w:rPr>
        <w:t>57</w:t>
      </w:r>
      <w:r w:rsidR="001F3246">
        <w:rPr>
          <w:rFonts w:ascii="Arial" w:eastAsia="Calibri" w:hAnsi="Arial" w:cs="Arial"/>
        </w:rPr>
        <w:t xml:space="preserve">. </w:t>
      </w:r>
      <w:r w:rsidR="001F3246">
        <w:rPr>
          <w:rFonts w:ascii="Arial" w:eastAsia="Calibri" w:hAnsi="Arial" w:cs="Arial"/>
        </w:rPr>
        <w:tab/>
      </w:r>
      <w:r w:rsidR="00740513" w:rsidRPr="00740513">
        <w:rPr>
          <w:rFonts w:ascii="Arial" w:eastAsia="Calibri" w:hAnsi="Arial" w:cs="Arial"/>
        </w:rPr>
        <w:t xml:space="preserve">Members may recall that following a protracted legal process up to and including the House of Lords judgment, settlement agreements were reached in respect of terms and conditions in 2015 with both the RFU (now FRSA) and the FBU in regard to the many thousands of Employment Tribunal cases relating to potential discrimination under those Regulations. The LGA acted for FRAs through the auspices of the National Employers </w:t>
      </w:r>
      <w:proofErr w:type="gramStart"/>
      <w:r w:rsidR="00740513" w:rsidRPr="00740513">
        <w:rPr>
          <w:rFonts w:ascii="Arial" w:eastAsia="Calibri" w:hAnsi="Arial" w:cs="Arial"/>
        </w:rPr>
        <w:t>on the basis of</w:t>
      </w:r>
      <w:proofErr w:type="gramEnd"/>
      <w:r w:rsidR="00740513" w:rsidRPr="00740513">
        <w:rPr>
          <w:rFonts w:ascii="Arial" w:eastAsia="Calibri" w:hAnsi="Arial" w:cs="Arial"/>
        </w:rPr>
        <w:t xml:space="preserve"> a cost-sharing arrangement with FRAs similar to the arrangements in place for the legal cases already referred to in this report. </w:t>
      </w:r>
    </w:p>
    <w:p w14:paraId="304D8FFE" w14:textId="77777777" w:rsidR="00740513" w:rsidRPr="00740513" w:rsidRDefault="00740513" w:rsidP="0068293C">
      <w:pPr>
        <w:ind w:left="567" w:hanging="567"/>
        <w:jc w:val="both"/>
        <w:rPr>
          <w:rFonts w:ascii="Arial" w:eastAsia="Calibri" w:hAnsi="Arial" w:cs="Arial"/>
        </w:rPr>
      </w:pPr>
    </w:p>
    <w:p w14:paraId="2A99DDCA" w14:textId="5AB5FE06" w:rsidR="00740513" w:rsidRPr="00740513" w:rsidRDefault="00EB1A84" w:rsidP="0068293C">
      <w:pPr>
        <w:ind w:left="567" w:hanging="567"/>
        <w:jc w:val="both"/>
        <w:rPr>
          <w:rFonts w:ascii="Arial" w:eastAsia="Calibri" w:hAnsi="Arial" w:cs="Arial"/>
        </w:rPr>
      </w:pPr>
      <w:r>
        <w:rPr>
          <w:rFonts w:ascii="Arial" w:eastAsia="Calibri" w:hAnsi="Arial" w:cs="Arial"/>
        </w:rPr>
        <w:t>58</w:t>
      </w:r>
      <w:r w:rsidR="00740513" w:rsidRPr="00740513">
        <w:rPr>
          <w:rFonts w:ascii="Arial" w:eastAsia="Calibri" w:hAnsi="Arial" w:cs="Arial"/>
        </w:rPr>
        <w:t>.</w:t>
      </w:r>
      <w:r w:rsidR="001F3246">
        <w:rPr>
          <w:rFonts w:ascii="Arial" w:eastAsia="Calibri" w:hAnsi="Arial" w:cs="Arial"/>
        </w:rPr>
        <w:tab/>
      </w:r>
      <w:r w:rsidR="00740513" w:rsidRPr="00740513">
        <w:rPr>
          <w:rFonts w:ascii="Arial" w:eastAsia="Calibri" w:hAnsi="Arial" w:cs="Arial"/>
        </w:rPr>
        <w:t xml:space="preserve">Defence of the pensions aspect of the case was led by central government. The House of Lords judgment allowed those who were serving during the period 1 July 2000 (the date the Regulations came into force) to the date on which they elected to join the 2006 Scheme, to have special provisions which generally reflect the rules of the Firefighters' Pension Scheme </w:t>
      </w:r>
      <w:r w:rsidR="00740513" w:rsidRPr="00740513">
        <w:rPr>
          <w:rFonts w:ascii="Arial" w:eastAsia="Calibri" w:hAnsi="Arial" w:cs="Arial"/>
        </w:rPr>
        <w:lastRenderedPageBreak/>
        <w:t xml:space="preserve">1992 ("FPS 1992"). An options exercise took place to provide for those who qualified for membership of the modified Scheme, to elect to join by no later than 30 September 2015. </w:t>
      </w:r>
    </w:p>
    <w:p w14:paraId="6BDE520A" w14:textId="77777777" w:rsidR="00740513" w:rsidRPr="00740513" w:rsidRDefault="00740513" w:rsidP="0068293C">
      <w:pPr>
        <w:ind w:left="567" w:hanging="567"/>
        <w:jc w:val="both"/>
        <w:rPr>
          <w:rFonts w:ascii="Arial" w:eastAsia="Calibri" w:hAnsi="Arial" w:cs="Arial"/>
        </w:rPr>
      </w:pPr>
    </w:p>
    <w:p w14:paraId="4AFE4AA9" w14:textId="330D6224" w:rsidR="00740513" w:rsidRPr="00740513" w:rsidRDefault="00EB1A84" w:rsidP="0068293C">
      <w:pPr>
        <w:ind w:left="567" w:hanging="567"/>
        <w:jc w:val="both"/>
        <w:rPr>
          <w:rFonts w:ascii="Arial" w:eastAsia="Calibri" w:hAnsi="Arial" w:cs="Arial"/>
        </w:rPr>
      </w:pPr>
      <w:r>
        <w:rPr>
          <w:rFonts w:ascii="Arial" w:eastAsia="Calibri" w:hAnsi="Arial" w:cs="Arial"/>
        </w:rPr>
        <w:t>59</w:t>
      </w:r>
      <w:r w:rsidR="00740513" w:rsidRPr="00740513">
        <w:rPr>
          <w:rFonts w:ascii="Arial" w:eastAsia="Calibri" w:hAnsi="Arial" w:cs="Arial"/>
        </w:rPr>
        <w:t>.</w:t>
      </w:r>
      <w:r w:rsidR="001F3246">
        <w:rPr>
          <w:rFonts w:ascii="Arial" w:eastAsia="Calibri" w:hAnsi="Arial" w:cs="Arial"/>
        </w:rPr>
        <w:tab/>
      </w:r>
      <w:r w:rsidR="00740513" w:rsidRPr="00740513">
        <w:rPr>
          <w:rFonts w:ascii="Arial" w:eastAsia="Calibri" w:hAnsi="Arial" w:cs="Arial"/>
        </w:rPr>
        <w:t xml:space="preserve">More recently, work has again had to take place on the </w:t>
      </w:r>
      <w:proofErr w:type="gramStart"/>
      <w:r w:rsidR="00740513" w:rsidRPr="00740513">
        <w:rPr>
          <w:rFonts w:ascii="Arial" w:eastAsia="Calibri" w:hAnsi="Arial" w:cs="Arial"/>
        </w:rPr>
        <w:t>pensions</w:t>
      </w:r>
      <w:proofErr w:type="gramEnd"/>
      <w:r w:rsidR="00740513" w:rsidRPr="00740513">
        <w:rPr>
          <w:rFonts w:ascii="Arial" w:eastAsia="Calibri" w:hAnsi="Arial" w:cs="Arial"/>
        </w:rPr>
        <w:t xml:space="preserve"> aspect of this case. This is because of a European Court of Justice judgment involving part-time judges (O’Brien), which in effect held that remedy could extend back before the Part-time Worker Regulations were implemented in July 2000. This also impacts on the fire service as the impact of the judgment and its interpretation of part-time workers’ rights applies across all employers. </w:t>
      </w:r>
    </w:p>
    <w:p w14:paraId="18830725" w14:textId="77777777" w:rsidR="00740513" w:rsidRPr="00740513" w:rsidRDefault="00740513" w:rsidP="0068293C">
      <w:pPr>
        <w:ind w:left="567" w:hanging="567"/>
        <w:jc w:val="both"/>
        <w:rPr>
          <w:rFonts w:ascii="Arial" w:eastAsia="Calibri" w:hAnsi="Arial" w:cs="Arial"/>
        </w:rPr>
      </w:pPr>
    </w:p>
    <w:p w14:paraId="75B5D06F" w14:textId="3A9004AA" w:rsidR="00740513" w:rsidRPr="00740513" w:rsidRDefault="001F3246" w:rsidP="0068293C">
      <w:pPr>
        <w:ind w:left="567" w:hanging="567"/>
        <w:jc w:val="both"/>
        <w:rPr>
          <w:rFonts w:ascii="Arial" w:eastAsia="Calibri" w:hAnsi="Arial" w:cs="Arial"/>
        </w:rPr>
      </w:pPr>
      <w:r>
        <w:rPr>
          <w:rFonts w:ascii="Arial" w:eastAsia="Calibri" w:hAnsi="Arial" w:cs="Arial"/>
        </w:rPr>
        <w:t>6</w:t>
      </w:r>
      <w:r w:rsidR="00EB1A84">
        <w:rPr>
          <w:rFonts w:ascii="Arial" w:eastAsia="Calibri" w:hAnsi="Arial" w:cs="Arial"/>
        </w:rPr>
        <w:t>0</w:t>
      </w:r>
      <w:r w:rsidR="00740513" w:rsidRPr="00740513">
        <w:rPr>
          <w:rFonts w:ascii="Arial" w:eastAsia="Calibri" w:hAnsi="Arial" w:cs="Arial"/>
        </w:rPr>
        <w:t xml:space="preserve">. </w:t>
      </w:r>
      <w:r>
        <w:rPr>
          <w:rFonts w:ascii="Arial" w:eastAsia="Calibri" w:hAnsi="Arial" w:cs="Arial"/>
        </w:rPr>
        <w:tab/>
      </w:r>
      <w:r w:rsidR="00740513" w:rsidRPr="00740513">
        <w:rPr>
          <w:rFonts w:ascii="Arial" w:eastAsia="Calibri" w:hAnsi="Arial" w:cs="Arial"/>
        </w:rPr>
        <w:t xml:space="preserve">Consequently, together with legal representatives, discussions are continuing with the government’s legal department and legal representatives for the FBU and FRSA. As you would expect, we have also raised the concern that this will be unbudgeted expenditure for FRAs, should central government not provide them with the necessary funding. </w:t>
      </w:r>
    </w:p>
    <w:p w14:paraId="0E27D040" w14:textId="77FDD523" w:rsidR="00F708FE" w:rsidRDefault="00F708FE" w:rsidP="00E867F0">
      <w:pPr>
        <w:jc w:val="both"/>
        <w:rPr>
          <w:rFonts w:ascii="Arial" w:eastAsia="Calibri" w:hAnsi="Arial" w:cs="Arial"/>
        </w:rPr>
      </w:pPr>
    </w:p>
    <w:p w14:paraId="1C5DBE5B" w14:textId="32F578CB" w:rsidR="0020724A" w:rsidRDefault="0020724A" w:rsidP="00E867F0">
      <w:pPr>
        <w:pStyle w:val="ListParagraph"/>
        <w:ind w:left="567" w:hanging="567"/>
        <w:rPr>
          <w:rFonts w:ascii="Arial" w:hAnsi="Arial" w:cs="Arial"/>
          <w:b/>
          <w:lang w:eastAsia="en-GB"/>
        </w:rPr>
      </w:pPr>
      <w:r>
        <w:rPr>
          <w:rFonts w:ascii="Arial" w:hAnsi="Arial" w:cs="Arial"/>
          <w:b/>
          <w:lang w:eastAsia="en-GB"/>
        </w:rPr>
        <w:t>Coronavirus</w:t>
      </w:r>
    </w:p>
    <w:p w14:paraId="535C7AE2" w14:textId="77777777" w:rsidR="0020724A" w:rsidRPr="005A5F3A" w:rsidRDefault="0020724A" w:rsidP="00E867F0">
      <w:pPr>
        <w:pStyle w:val="ListParagraph"/>
        <w:ind w:left="567" w:hanging="567"/>
        <w:rPr>
          <w:rFonts w:ascii="Arial" w:hAnsi="Arial" w:cs="Arial"/>
          <w:b/>
          <w:lang w:eastAsia="en-GB"/>
        </w:rPr>
      </w:pPr>
    </w:p>
    <w:p w14:paraId="0B5345F6" w14:textId="72634A83" w:rsidR="00333D25" w:rsidRDefault="00E867F0" w:rsidP="00E867F0">
      <w:pPr>
        <w:spacing w:line="276" w:lineRule="auto"/>
        <w:ind w:left="567" w:hanging="567"/>
        <w:contextualSpacing/>
        <w:jc w:val="both"/>
        <w:rPr>
          <w:rFonts w:ascii="Arial" w:hAnsi="Arial" w:cs="Arial"/>
          <w:lang w:eastAsia="en-GB"/>
        </w:rPr>
      </w:pPr>
      <w:r>
        <w:rPr>
          <w:rFonts w:ascii="Arial" w:hAnsi="Arial" w:cs="Arial"/>
          <w:lang w:eastAsia="en-GB"/>
        </w:rPr>
        <w:t>6</w:t>
      </w:r>
      <w:r w:rsidR="00EB1A84">
        <w:rPr>
          <w:rFonts w:ascii="Arial" w:hAnsi="Arial" w:cs="Arial"/>
          <w:lang w:eastAsia="en-GB"/>
        </w:rPr>
        <w:t>1</w:t>
      </w:r>
      <w:r>
        <w:rPr>
          <w:rFonts w:ascii="Arial" w:hAnsi="Arial" w:cs="Arial"/>
          <w:lang w:eastAsia="en-GB"/>
        </w:rPr>
        <w:t>.</w:t>
      </w:r>
      <w:r>
        <w:rPr>
          <w:rFonts w:ascii="Arial" w:hAnsi="Arial" w:cs="Arial"/>
          <w:lang w:eastAsia="en-GB"/>
        </w:rPr>
        <w:tab/>
      </w:r>
      <w:r w:rsidR="00D719FB" w:rsidRPr="009142F2">
        <w:rPr>
          <w:rFonts w:ascii="Arial" w:hAnsi="Arial" w:cs="Arial"/>
          <w:lang w:eastAsia="en-GB"/>
        </w:rPr>
        <w:t>Members will be aware that both sides of the National Joint Council and the NFCC developed a series of</w:t>
      </w:r>
      <w:r w:rsidR="00BB5B0A">
        <w:rPr>
          <w:rFonts w:ascii="Arial" w:hAnsi="Arial" w:cs="Arial"/>
          <w:lang w:eastAsia="en-GB"/>
        </w:rPr>
        <w:t xml:space="preserve"> </w:t>
      </w:r>
      <w:r w:rsidR="00EB0AE4">
        <w:rPr>
          <w:rFonts w:ascii="Arial" w:hAnsi="Arial" w:cs="Arial"/>
          <w:lang w:eastAsia="en-GB"/>
        </w:rPr>
        <w:t xml:space="preserve">tripartite statements </w:t>
      </w:r>
      <w:r w:rsidR="00D719FB" w:rsidRPr="009142F2">
        <w:rPr>
          <w:rFonts w:ascii="Arial" w:hAnsi="Arial" w:cs="Arial"/>
          <w:lang w:eastAsia="en-GB"/>
        </w:rPr>
        <w:t>on additional areas of work that firefighters c</w:t>
      </w:r>
      <w:r w:rsidR="00BB5B0A">
        <w:rPr>
          <w:rFonts w:ascii="Arial" w:hAnsi="Arial" w:cs="Arial"/>
          <w:lang w:eastAsia="en-GB"/>
        </w:rPr>
        <w:t>ould</w:t>
      </w:r>
      <w:r w:rsidR="00D719FB" w:rsidRPr="009142F2">
        <w:rPr>
          <w:rFonts w:ascii="Arial" w:hAnsi="Arial" w:cs="Arial"/>
          <w:lang w:eastAsia="en-GB"/>
        </w:rPr>
        <w:t xml:space="preserve"> undertake to alleviate pressure on ambulances services and other partners during the COVID-19 pandemic. </w:t>
      </w:r>
    </w:p>
    <w:p w14:paraId="32AC9873" w14:textId="77777777" w:rsidR="00333D25" w:rsidRDefault="00333D25" w:rsidP="00E867F0">
      <w:pPr>
        <w:spacing w:line="276" w:lineRule="auto"/>
        <w:ind w:left="567" w:hanging="567"/>
        <w:contextualSpacing/>
        <w:jc w:val="both"/>
        <w:rPr>
          <w:rFonts w:ascii="Arial" w:hAnsi="Arial" w:cs="Arial"/>
          <w:lang w:eastAsia="en-GB"/>
        </w:rPr>
      </w:pPr>
    </w:p>
    <w:p w14:paraId="46C9A240" w14:textId="1CEE0943" w:rsidR="002F7495" w:rsidRDefault="00333D25" w:rsidP="00E867F0">
      <w:pPr>
        <w:spacing w:line="276" w:lineRule="auto"/>
        <w:ind w:left="567" w:hanging="567"/>
        <w:contextualSpacing/>
        <w:jc w:val="both"/>
        <w:rPr>
          <w:rFonts w:ascii="Arial" w:hAnsi="Arial" w:cs="Arial"/>
          <w:lang w:eastAsia="en-GB"/>
        </w:rPr>
      </w:pPr>
      <w:r w:rsidRPr="49F2994D">
        <w:rPr>
          <w:rFonts w:ascii="Arial" w:hAnsi="Arial" w:cs="Arial"/>
          <w:lang w:eastAsia="en-GB"/>
        </w:rPr>
        <w:t>6</w:t>
      </w:r>
      <w:r w:rsidR="00EB1A84">
        <w:rPr>
          <w:rFonts w:ascii="Arial" w:hAnsi="Arial" w:cs="Arial"/>
          <w:lang w:eastAsia="en-GB"/>
        </w:rPr>
        <w:t>2</w:t>
      </w:r>
      <w:r w:rsidRPr="49F2994D">
        <w:rPr>
          <w:rFonts w:ascii="Arial" w:hAnsi="Arial" w:cs="Arial"/>
          <w:lang w:eastAsia="en-GB"/>
        </w:rPr>
        <w:t>.</w:t>
      </w:r>
      <w:r>
        <w:tab/>
      </w:r>
      <w:r w:rsidR="003F07C8" w:rsidRPr="49F2994D">
        <w:rPr>
          <w:rFonts w:ascii="Arial" w:hAnsi="Arial" w:cs="Arial"/>
          <w:lang w:eastAsia="en-GB"/>
        </w:rPr>
        <w:t>Following the breakdown of that arrangement</w:t>
      </w:r>
      <w:r w:rsidR="00E84F97" w:rsidRPr="49F2994D">
        <w:rPr>
          <w:rFonts w:ascii="Arial" w:hAnsi="Arial" w:cs="Arial"/>
          <w:lang w:eastAsia="en-GB"/>
        </w:rPr>
        <w:t xml:space="preserve"> </w:t>
      </w:r>
      <w:r w:rsidRPr="49F2994D">
        <w:rPr>
          <w:rFonts w:ascii="Arial" w:hAnsi="Arial" w:cs="Arial"/>
          <w:lang w:eastAsia="en-GB"/>
        </w:rPr>
        <w:t>the NJC</w:t>
      </w:r>
      <w:r w:rsidR="0006170B" w:rsidRPr="49F2994D">
        <w:rPr>
          <w:rFonts w:ascii="Arial" w:hAnsi="Arial" w:cs="Arial"/>
          <w:lang w:eastAsia="en-GB"/>
        </w:rPr>
        <w:t xml:space="preserve"> </w:t>
      </w:r>
      <w:r w:rsidRPr="49F2994D">
        <w:rPr>
          <w:rFonts w:ascii="Arial" w:hAnsi="Arial" w:cs="Arial"/>
          <w:lang w:eastAsia="en-GB"/>
        </w:rPr>
        <w:t xml:space="preserve">put in place </w:t>
      </w:r>
      <w:r w:rsidR="00F40B32" w:rsidRPr="49F2994D">
        <w:rPr>
          <w:rFonts w:ascii="Arial" w:hAnsi="Arial" w:cs="Arial"/>
          <w:lang w:eastAsia="en-GB"/>
        </w:rPr>
        <w:t>an agreement</w:t>
      </w:r>
      <w:r w:rsidR="00602DD7" w:rsidRPr="49F2994D">
        <w:rPr>
          <w:rFonts w:ascii="Arial" w:hAnsi="Arial" w:cs="Arial"/>
          <w:lang w:eastAsia="en-GB"/>
        </w:rPr>
        <w:t xml:space="preserve"> (effectively carrying over the tripartite arrangement) </w:t>
      </w:r>
      <w:r w:rsidR="00D74D71" w:rsidRPr="49F2994D">
        <w:rPr>
          <w:rFonts w:ascii="Arial" w:hAnsi="Arial" w:cs="Arial"/>
          <w:lang w:eastAsia="en-GB"/>
        </w:rPr>
        <w:t>to allow a period of one month during which it was hoped agreement could be reached with the FBU on an alternative to a particular control measure. The end date was identified in the agreement – 11 January 2021</w:t>
      </w:r>
      <w:r w:rsidR="008117DF" w:rsidRPr="49F2994D">
        <w:rPr>
          <w:rFonts w:ascii="Arial" w:hAnsi="Arial" w:cs="Arial"/>
          <w:lang w:eastAsia="en-GB"/>
        </w:rPr>
        <w:t>.</w:t>
      </w:r>
      <w:r w:rsidR="00F41D5A" w:rsidRPr="49F2994D">
        <w:rPr>
          <w:rFonts w:ascii="Arial" w:hAnsi="Arial" w:cs="Arial"/>
          <w:lang w:eastAsia="en-GB"/>
        </w:rPr>
        <w:t xml:space="preserve"> </w:t>
      </w:r>
      <w:r w:rsidR="002F7495" w:rsidRPr="49F2994D">
        <w:rPr>
          <w:rFonts w:ascii="Arial" w:hAnsi="Arial" w:cs="Arial"/>
          <w:lang w:eastAsia="en-GB"/>
        </w:rPr>
        <w:t xml:space="preserve">Despite best endeavours and intense joint discussion, it was </w:t>
      </w:r>
      <w:r w:rsidR="00B348C0" w:rsidRPr="49F2994D">
        <w:rPr>
          <w:rFonts w:ascii="Arial" w:hAnsi="Arial" w:cs="Arial"/>
          <w:lang w:eastAsia="en-GB"/>
        </w:rPr>
        <w:t xml:space="preserve">not possible to do so and the agreement </w:t>
      </w:r>
      <w:r w:rsidR="00F41D5A" w:rsidRPr="49F2994D">
        <w:rPr>
          <w:rFonts w:ascii="Arial" w:hAnsi="Arial" w:cs="Arial"/>
          <w:lang w:eastAsia="en-GB"/>
        </w:rPr>
        <w:t xml:space="preserve">therefore </w:t>
      </w:r>
      <w:r w:rsidR="00B348C0" w:rsidRPr="49F2994D">
        <w:rPr>
          <w:rFonts w:ascii="Arial" w:hAnsi="Arial" w:cs="Arial"/>
          <w:lang w:eastAsia="en-GB"/>
        </w:rPr>
        <w:t xml:space="preserve">expired. </w:t>
      </w:r>
    </w:p>
    <w:p w14:paraId="4DFD92F6" w14:textId="13FBB393" w:rsidR="00A842BB" w:rsidRDefault="00A842BB" w:rsidP="00E867F0">
      <w:pPr>
        <w:spacing w:line="276" w:lineRule="auto"/>
        <w:ind w:left="567" w:hanging="567"/>
        <w:contextualSpacing/>
        <w:jc w:val="both"/>
        <w:rPr>
          <w:rFonts w:ascii="Arial" w:hAnsi="Arial" w:cs="Arial"/>
          <w:lang w:eastAsia="en-GB"/>
        </w:rPr>
      </w:pPr>
    </w:p>
    <w:p w14:paraId="64136AE2" w14:textId="7D03FDB9" w:rsidR="0097784C" w:rsidRDefault="00A842BB" w:rsidP="009F46A6">
      <w:pPr>
        <w:spacing w:line="276" w:lineRule="auto"/>
        <w:ind w:left="567" w:hanging="567"/>
        <w:contextualSpacing/>
        <w:jc w:val="both"/>
        <w:rPr>
          <w:rFonts w:ascii="Arial" w:hAnsi="Arial" w:cs="Arial"/>
          <w:lang w:eastAsia="en-GB"/>
        </w:rPr>
      </w:pPr>
      <w:r w:rsidRPr="49F2994D">
        <w:rPr>
          <w:rFonts w:ascii="Arial" w:hAnsi="Arial" w:cs="Arial"/>
          <w:lang w:eastAsia="en-GB"/>
        </w:rPr>
        <w:t>6</w:t>
      </w:r>
      <w:r w:rsidR="00EB1A84">
        <w:rPr>
          <w:rFonts w:ascii="Arial" w:hAnsi="Arial" w:cs="Arial"/>
          <w:lang w:eastAsia="en-GB"/>
        </w:rPr>
        <w:t>3</w:t>
      </w:r>
      <w:r w:rsidRPr="49F2994D">
        <w:rPr>
          <w:rFonts w:ascii="Arial" w:hAnsi="Arial" w:cs="Arial"/>
          <w:lang w:eastAsia="en-GB"/>
        </w:rPr>
        <w:t>.</w:t>
      </w:r>
      <w:r>
        <w:tab/>
      </w:r>
      <w:r w:rsidR="0061656F" w:rsidRPr="49F2994D">
        <w:rPr>
          <w:rFonts w:ascii="Arial" w:hAnsi="Arial" w:cs="Arial"/>
          <w:lang w:eastAsia="en-GB"/>
        </w:rPr>
        <w:t>T</w:t>
      </w:r>
      <w:r w:rsidR="009F46A6" w:rsidRPr="49F2994D">
        <w:rPr>
          <w:rFonts w:ascii="Arial" w:hAnsi="Arial" w:cs="Arial"/>
          <w:lang w:eastAsia="en-GB"/>
        </w:rPr>
        <w:t xml:space="preserve">he </w:t>
      </w:r>
      <w:r w:rsidR="0061656F" w:rsidRPr="49F2994D">
        <w:rPr>
          <w:rFonts w:ascii="Arial" w:hAnsi="Arial" w:cs="Arial"/>
          <w:lang w:eastAsia="en-GB"/>
        </w:rPr>
        <w:t>National E</w:t>
      </w:r>
      <w:r w:rsidR="009F46A6" w:rsidRPr="49F2994D">
        <w:rPr>
          <w:rFonts w:ascii="Arial" w:hAnsi="Arial" w:cs="Arial"/>
          <w:lang w:eastAsia="en-GB"/>
        </w:rPr>
        <w:t xml:space="preserve">mployers </w:t>
      </w:r>
      <w:r w:rsidR="0061656F" w:rsidRPr="49F2994D">
        <w:rPr>
          <w:rFonts w:ascii="Arial" w:hAnsi="Arial" w:cs="Arial"/>
          <w:lang w:eastAsia="en-GB"/>
        </w:rPr>
        <w:t xml:space="preserve">did </w:t>
      </w:r>
      <w:r w:rsidR="009F46A6" w:rsidRPr="49F2994D">
        <w:rPr>
          <w:rFonts w:ascii="Arial" w:hAnsi="Arial" w:cs="Arial"/>
          <w:lang w:eastAsia="en-GB"/>
        </w:rPr>
        <w:t xml:space="preserve">continue to engage with </w:t>
      </w:r>
      <w:r w:rsidR="00B51F1C" w:rsidRPr="49F2994D">
        <w:rPr>
          <w:rFonts w:ascii="Arial" w:hAnsi="Arial" w:cs="Arial"/>
          <w:lang w:eastAsia="en-GB"/>
        </w:rPr>
        <w:t xml:space="preserve">employee representatives </w:t>
      </w:r>
      <w:r w:rsidR="009F46A6" w:rsidRPr="49F2994D">
        <w:rPr>
          <w:rFonts w:ascii="Arial" w:hAnsi="Arial" w:cs="Arial"/>
          <w:lang w:eastAsia="en-GB"/>
        </w:rPr>
        <w:t xml:space="preserve">to see if an agreed way forward could be identified building upon the first draft of an agreement the employers had provided on 7 January. It was made clear that amendments incorporated after the </w:t>
      </w:r>
      <w:r w:rsidR="00576212" w:rsidRPr="49F2994D">
        <w:rPr>
          <w:rFonts w:ascii="Arial" w:hAnsi="Arial" w:cs="Arial"/>
          <w:lang w:eastAsia="en-GB"/>
        </w:rPr>
        <w:t xml:space="preserve">employees’ side </w:t>
      </w:r>
      <w:r w:rsidR="009F46A6" w:rsidRPr="49F2994D">
        <w:rPr>
          <w:rFonts w:ascii="Arial" w:hAnsi="Arial" w:cs="Arial"/>
          <w:lang w:eastAsia="en-GB"/>
        </w:rPr>
        <w:t>detailed response on the evening of 11th, represented the employers’ final position. Given the interim agreement had ended, an urgent response was sought. The employers were clear that it would need to communicate with FRAs and FRSs advising them of the outcome one way or the other by 5.00p.m. on 13 January.</w:t>
      </w:r>
      <w:r w:rsidR="006E4CC3" w:rsidRPr="49F2994D">
        <w:rPr>
          <w:rFonts w:ascii="Arial" w:hAnsi="Arial" w:cs="Arial"/>
          <w:lang w:eastAsia="en-GB"/>
        </w:rPr>
        <w:t xml:space="preserve"> </w:t>
      </w:r>
    </w:p>
    <w:p w14:paraId="696BFD5E" w14:textId="77777777" w:rsidR="0097784C" w:rsidRDefault="0097784C" w:rsidP="00E867F0">
      <w:pPr>
        <w:spacing w:line="276" w:lineRule="auto"/>
        <w:ind w:left="567" w:hanging="567"/>
        <w:contextualSpacing/>
        <w:jc w:val="both"/>
        <w:rPr>
          <w:rFonts w:ascii="Arial" w:hAnsi="Arial" w:cs="Arial"/>
          <w:lang w:eastAsia="en-GB"/>
        </w:rPr>
      </w:pPr>
    </w:p>
    <w:p w14:paraId="3A24B777" w14:textId="61D8216C" w:rsidR="00A842BB" w:rsidRDefault="0097784C" w:rsidP="00E867F0">
      <w:pPr>
        <w:spacing w:line="276" w:lineRule="auto"/>
        <w:ind w:left="567" w:hanging="567"/>
        <w:contextualSpacing/>
        <w:jc w:val="both"/>
        <w:rPr>
          <w:rFonts w:ascii="Arial" w:hAnsi="Arial" w:cs="Arial"/>
          <w:lang w:eastAsia="en-GB"/>
        </w:rPr>
      </w:pPr>
      <w:r>
        <w:rPr>
          <w:rFonts w:ascii="Arial" w:hAnsi="Arial" w:cs="Arial"/>
          <w:lang w:eastAsia="en-GB"/>
        </w:rPr>
        <w:t>6</w:t>
      </w:r>
      <w:r w:rsidR="00EB1A84">
        <w:rPr>
          <w:rFonts w:ascii="Arial" w:hAnsi="Arial" w:cs="Arial"/>
          <w:lang w:eastAsia="en-GB"/>
        </w:rPr>
        <w:t>4</w:t>
      </w:r>
      <w:r>
        <w:rPr>
          <w:rFonts w:ascii="Arial" w:hAnsi="Arial" w:cs="Arial"/>
          <w:lang w:eastAsia="en-GB"/>
        </w:rPr>
        <w:t>.</w:t>
      </w:r>
      <w:r>
        <w:rPr>
          <w:rFonts w:ascii="Arial" w:hAnsi="Arial" w:cs="Arial"/>
          <w:lang w:eastAsia="en-GB"/>
        </w:rPr>
        <w:tab/>
      </w:r>
      <w:r w:rsidR="004C6EBB">
        <w:rPr>
          <w:rFonts w:ascii="Arial" w:hAnsi="Arial" w:cs="Arial"/>
          <w:lang w:eastAsia="en-GB"/>
        </w:rPr>
        <w:t xml:space="preserve"> </w:t>
      </w:r>
      <w:r w:rsidR="00920493">
        <w:rPr>
          <w:rFonts w:ascii="Arial" w:hAnsi="Arial" w:cs="Arial"/>
          <w:lang w:eastAsia="en-GB"/>
        </w:rPr>
        <w:t xml:space="preserve">In order to assist communications with staff and others </w:t>
      </w:r>
      <w:hyperlink r:id="rId22" w:history="1">
        <w:r w:rsidR="003D6329" w:rsidRPr="003D6329">
          <w:rPr>
            <w:rStyle w:val="Hyperlink"/>
            <w:rFonts w:ascii="Arial" w:hAnsi="Arial" w:cs="Arial"/>
            <w:lang w:eastAsia="en-GB"/>
          </w:rPr>
          <w:t>FAQs</w:t>
        </w:r>
      </w:hyperlink>
      <w:r w:rsidR="003D6329">
        <w:rPr>
          <w:rFonts w:ascii="Arial" w:hAnsi="Arial" w:cs="Arial"/>
          <w:lang w:eastAsia="en-GB"/>
        </w:rPr>
        <w:t xml:space="preserve"> were provided to FRA/FRSs. </w:t>
      </w:r>
    </w:p>
    <w:p w14:paraId="65F21AF2" w14:textId="1400AE2D" w:rsidR="00124C82" w:rsidRDefault="00124C82" w:rsidP="00E867F0">
      <w:pPr>
        <w:spacing w:line="276" w:lineRule="auto"/>
        <w:ind w:left="567" w:hanging="567"/>
        <w:contextualSpacing/>
        <w:jc w:val="both"/>
        <w:rPr>
          <w:rFonts w:ascii="Arial" w:hAnsi="Arial" w:cs="Arial"/>
          <w:lang w:eastAsia="en-GB"/>
        </w:rPr>
      </w:pPr>
    </w:p>
    <w:p w14:paraId="7926BC47" w14:textId="4A9883AE" w:rsidR="00124C82" w:rsidRPr="009142F2" w:rsidRDefault="001611FD" w:rsidP="00E867F0">
      <w:pPr>
        <w:spacing w:line="276" w:lineRule="auto"/>
        <w:ind w:left="567" w:hanging="567"/>
        <w:contextualSpacing/>
        <w:jc w:val="both"/>
        <w:rPr>
          <w:rFonts w:ascii="Arial" w:hAnsi="Arial" w:cs="Arial"/>
          <w:lang w:eastAsia="en-GB"/>
        </w:rPr>
      </w:pPr>
      <w:r w:rsidRPr="49F2994D">
        <w:rPr>
          <w:rFonts w:ascii="Arial" w:hAnsi="Arial" w:cs="Arial"/>
          <w:lang w:eastAsia="en-GB"/>
        </w:rPr>
        <w:t>6</w:t>
      </w:r>
      <w:r w:rsidR="00EB1A84">
        <w:rPr>
          <w:rFonts w:ascii="Arial" w:hAnsi="Arial" w:cs="Arial"/>
          <w:lang w:eastAsia="en-GB"/>
        </w:rPr>
        <w:t>5</w:t>
      </w:r>
      <w:r w:rsidRPr="49F2994D">
        <w:rPr>
          <w:rFonts w:ascii="Arial" w:hAnsi="Arial" w:cs="Arial"/>
          <w:lang w:eastAsia="en-GB"/>
        </w:rPr>
        <w:t>.</w:t>
      </w:r>
      <w:r>
        <w:tab/>
      </w:r>
      <w:r w:rsidR="00B5728A" w:rsidRPr="49F2994D">
        <w:rPr>
          <w:rFonts w:ascii="Arial" w:hAnsi="Arial" w:cs="Arial"/>
          <w:lang w:eastAsia="en-GB"/>
        </w:rPr>
        <w:t xml:space="preserve">The employees’ side </w:t>
      </w:r>
      <w:r w:rsidR="00D4405E" w:rsidRPr="49F2994D">
        <w:rPr>
          <w:rFonts w:ascii="Arial" w:hAnsi="Arial" w:cs="Arial"/>
          <w:lang w:eastAsia="en-GB"/>
        </w:rPr>
        <w:t>has indicated it would still wish to see a nationally agreed position</w:t>
      </w:r>
      <w:r w:rsidR="004B7878" w:rsidRPr="49F2994D">
        <w:rPr>
          <w:rFonts w:ascii="Arial" w:hAnsi="Arial" w:cs="Arial"/>
          <w:lang w:eastAsia="en-GB"/>
        </w:rPr>
        <w:t xml:space="preserve">. </w:t>
      </w:r>
      <w:r w:rsidR="00DB790E" w:rsidRPr="49F2994D">
        <w:rPr>
          <w:rFonts w:ascii="Arial" w:hAnsi="Arial" w:cs="Arial"/>
          <w:lang w:eastAsia="en-GB"/>
        </w:rPr>
        <w:t>In response</w:t>
      </w:r>
      <w:r w:rsidR="00882AEA" w:rsidRPr="49F2994D">
        <w:rPr>
          <w:rFonts w:ascii="Arial" w:hAnsi="Arial" w:cs="Arial"/>
          <w:lang w:eastAsia="en-GB"/>
        </w:rPr>
        <w:t>,</w:t>
      </w:r>
      <w:r w:rsidR="00DB790E" w:rsidRPr="49F2994D">
        <w:rPr>
          <w:rFonts w:ascii="Arial" w:hAnsi="Arial" w:cs="Arial"/>
          <w:lang w:eastAsia="en-GB"/>
        </w:rPr>
        <w:t xml:space="preserve"> the National Employers </w:t>
      </w:r>
      <w:r w:rsidR="00FD2585" w:rsidRPr="49F2994D">
        <w:rPr>
          <w:rFonts w:ascii="Arial" w:hAnsi="Arial" w:cs="Arial"/>
          <w:lang w:eastAsia="en-GB"/>
        </w:rPr>
        <w:t>ha</w:t>
      </w:r>
      <w:r w:rsidR="00882AEA" w:rsidRPr="49F2994D">
        <w:rPr>
          <w:rFonts w:ascii="Arial" w:hAnsi="Arial" w:cs="Arial"/>
          <w:lang w:eastAsia="en-GB"/>
        </w:rPr>
        <w:t>s</w:t>
      </w:r>
      <w:r w:rsidR="00FD2585" w:rsidRPr="49F2994D">
        <w:rPr>
          <w:rFonts w:ascii="Arial" w:hAnsi="Arial" w:cs="Arial"/>
          <w:lang w:eastAsia="en-GB"/>
        </w:rPr>
        <w:t xml:space="preserve"> agreed to meet </w:t>
      </w:r>
      <w:r w:rsidR="006C0399" w:rsidRPr="49F2994D">
        <w:rPr>
          <w:rFonts w:ascii="Arial" w:hAnsi="Arial" w:cs="Arial"/>
          <w:lang w:eastAsia="en-GB"/>
        </w:rPr>
        <w:t>to discuss COVID support arran</w:t>
      </w:r>
      <w:r w:rsidR="00E54FFE" w:rsidRPr="49F2994D">
        <w:rPr>
          <w:rFonts w:ascii="Arial" w:hAnsi="Arial" w:cs="Arial"/>
          <w:lang w:eastAsia="en-GB"/>
        </w:rPr>
        <w:t>gements,</w:t>
      </w:r>
      <w:r w:rsidR="006C0399" w:rsidRPr="49F2994D">
        <w:rPr>
          <w:rFonts w:ascii="Arial" w:hAnsi="Arial" w:cs="Arial"/>
          <w:lang w:eastAsia="en-GB"/>
        </w:rPr>
        <w:t xml:space="preserve"> </w:t>
      </w:r>
      <w:r w:rsidR="00192BCC" w:rsidRPr="49F2994D">
        <w:rPr>
          <w:rFonts w:ascii="Arial" w:hAnsi="Arial" w:cs="Arial"/>
          <w:lang w:eastAsia="en-GB"/>
        </w:rPr>
        <w:t xml:space="preserve">which could </w:t>
      </w:r>
      <w:r w:rsidR="00D113A0" w:rsidRPr="49F2994D">
        <w:rPr>
          <w:rFonts w:ascii="Arial" w:hAnsi="Arial" w:cs="Arial"/>
          <w:lang w:eastAsia="en-GB"/>
        </w:rPr>
        <w:t xml:space="preserve">include exploration of the potential for a replacement agreement. </w:t>
      </w:r>
    </w:p>
    <w:p w14:paraId="243FC9CC" w14:textId="5B2038BF" w:rsidR="00CC6DFB" w:rsidRDefault="00CC6DFB" w:rsidP="00E867F0">
      <w:pPr>
        <w:rPr>
          <w:rFonts w:ascii="Arial" w:hAnsi="Arial" w:cs="Arial"/>
          <w:b/>
          <w:lang w:eastAsia="en-GB"/>
        </w:rPr>
      </w:pPr>
    </w:p>
    <w:p w14:paraId="4A17C7D3" w14:textId="0F9362BE" w:rsidR="0020724A" w:rsidRDefault="0020724A" w:rsidP="00E867F0">
      <w:pPr>
        <w:spacing w:line="276" w:lineRule="auto"/>
        <w:contextualSpacing/>
        <w:jc w:val="both"/>
        <w:rPr>
          <w:rFonts w:ascii="Arial" w:hAnsi="Arial" w:cs="Arial"/>
          <w:b/>
          <w:lang w:eastAsia="en-GB"/>
        </w:rPr>
      </w:pPr>
      <w:r w:rsidRPr="007428C1">
        <w:rPr>
          <w:rFonts w:ascii="Arial" w:hAnsi="Arial" w:cs="Arial"/>
          <w:b/>
          <w:lang w:eastAsia="en-GB"/>
        </w:rPr>
        <w:t>Implications for Wales</w:t>
      </w:r>
    </w:p>
    <w:p w14:paraId="060F0AD5" w14:textId="77777777" w:rsidR="00E54FFE" w:rsidRDefault="00E54FFE" w:rsidP="00E54FFE">
      <w:pPr>
        <w:spacing w:line="276" w:lineRule="auto"/>
        <w:contextualSpacing/>
        <w:jc w:val="both"/>
        <w:rPr>
          <w:rFonts w:ascii="Arial" w:hAnsi="Arial" w:cs="Arial"/>
          <w:bCs/>
          <w:lang w:eastAsia="en-GB"/>
        </w:rPr>
      </w:pPr>
    </w:p>
    <w:p w14:paraId="45B3A135" w14:textId="411D6D54" w:rsidR="0020724A" w:rsidRDefault="00EB1A84" w:rsidP="00E54FFE">
      <w:pPr>
        <w:spacing w:line="276" w:lineRule="auto"/>
        <w:ind w:left="567" w:hanging="567"/>
        <w:contextualSpacing/>
        <w:jc w:val="both"/>
        <w:rPr>
          <w:rFonts w:ascii="Arial" w:hAnsi="Arial" w:cs="Arial"/>
          <w:lang w:eastAsia="en-GB"/>
        </w:rPr>
      </w:pPr>
      <w:r>
        <w:rPr>
          <w:rFonts w:ascii="Arial" w:hAnsi="Arial" w:cs="Arial"/>
          <w:lang w:eastAsia="en-GB"/>
        </w:rPr>
        <w:t>66</w:t>
      </w:r>
      <w:r w:rsidR="00E54FFE" w:rsidRPr="62B3750D">
        <w:rPr>
          <w:rFonts w:ascii="Arial" w:hAnsi="Arial" w:cs="Arial"/>
          <w:lang w:eastAsia="en-GB"/>
        </w:rPr>
        <w:t>.</w:t>
      </w:r>
      <w:r w:rsidR="00E54FFE">
        <w:tab/>
      </w:r>
      <w:r w:rsidR="006968D9">
        <w:rPr>
          <w:rFonts w:ascii="Arial" w:hAnsi="Arial" w:cs="Arial"/>
          <w:lang w:eastAsia="en-GB"/>
        </w:rPr>
        <w:t>E</w:t>
      </w:r>
      <w:r w:rsidR="0020724A" w:rsidRPr="62B3750D">
        <w:rPr>
          <w:rFonts w:ascii="Arial" w:hAnsi="Arial" w:cs="Arial"/>
          <w:lang w:eastAsia="en-GB"/>
        </w:rPr>
        <w:t xml:space="preserve">ach of the wider workforce matters in this report have the same implications for Wales as for England and we are working with WLGA, Welsh FRAs and FRSs as appropriate. </w:t>
      </w:r>
      <w:r w:rsidR="0083019D" w:rsidRPr="62B3750D">
        <w:rPr>
          <w:rFonts w:ascii="Arial" w:hAnsi="Arial" w:cs="Arial"/>
          <w:lang w:eastAsia="en-GB"/>
        </w:rPr>
        <w:t>The exception</w:t>
      </w:r>
      <w:r w:rsidR="00872D59" w:rsidRPr="62B3750D">
        <w:rPr>
          <w:rFonts w:ascii="Arial" w:hAnsi="Arial" w:cs="Arial"/>
          <w:lang w:eastAsia="en-GB"/>
        </w:rPr>
        <w:t>s</w:t>
      </w:r>
      <w:r w:rsidR="0083019D" w:rsidRPr="62B3750D">
        <w:rPr>
          <w:rFonts w:ascii="Arial" w:hAnsi="Arial" w:cs="Arial"/>
          <w:lang w:eastAsia="en-GB"/>
        </w:rPr>
        <w:t xml:space="preserve"> in this report </w:t>
      </w:r>
      <w:r w:rsidR="00872D59" w:rsidRPr="62B3750D">
        <w:rPr>
          <w:rFonts w:ascii="Arial" w:hAnsi="Arial" w:cs="Arial"/>
          <w:lang w:eastAsia="en-GB"/>
        </w:rPr>
        <w:t>are</w:t>
      </w:r>
      <w:r w:rsidR="0083019D" w:rsidRPr="62B3750D">
        <w:rPr>
          <w:rFonts w:ascii="Arial" w:hAnsi="Arial" w:cs="Arial"/>
          <w:lang w:eastAsia="en-GB"/>
        </w:rPr>
        <w:t xml:space="preserve"> the Core Code of Ethics</w:t>
      </w:r>
      <w:r w:rsidR="00872D59" w:rsidRPr="62B3750D">
        <w:rPr>
          <w:rFonts w:ascii="Arial" w:hAnsi="Arial" w:cs="Arial"/>
          <w:lang w:eastAsia="en-GB"/>
        </w:rPr>
        <w:t xml:space="preserve"> and Fit for the Future</w:t>
      </w:r>
      <w:r w:rsidR="0083019D" w:rsidRPr="62B3750D">
        <w:rPr>
          <w:rFonts w:ascii="Arial" w:hAnsi="Arial" w:cs="Arial"/>
          <w:lang w:eastAsia="en-GB"/>
        </w:rPr>
        <w:t>, which appl</w:t>
      </w:r>
      <w:r w:rsidR="00203E08" w:rsidRPr="62B3750D">
        <w:rPr>
          <w:rFonts w:ascii="Arial" w:hAnsi="Arial" w:cs="Arial"/>
          <w:lang w:eastAsia="en-GB"/>
        </w:rPr>
        <w:t>y</w:t>
      </w:r>
      <w:r w:rsidR="0083019D" w:rsidRPr="62B3750D">
        <w:rPr>
          <w:rFonts w:ascii="Arial" w:hAnsi="Arial" w:cs="Arial"/>
          <w:lang w:eastAsia="en-GB"/>
        </w:rPr>
        <w:t xml:space="preserve"> in England only. </w:t>
      </w:r>
      <w:r w:rsidR="0020724A" w:rsidRPr="62B3750D">
        <w:rPr>
          <w:rFonts w:ascii="Arial" w:hAnsi="Arial" w:cs="Arial"/>
          <w:lang w:eastAsia="en-GB"/>
        </w:rPr>
        <w:t>The WLGA is one of the four employer stakeholder bodies on the NJC for Local Authority Fire and Rescue Services.</w:t>
      </w:r>
      <w:r w:rsidR="00AF2939" w:rsidRPr="62B3750D">
        <w:rPr>
          <w:rFonts w:ascii="Arial" w:hAnsi="Arial" w:cs="Arial"/>
          <w:lang w:eastAsia="en-GB"/>
        </w:rPr>
        <w:t xml:space="preserve"> </w:t>
      </w:r>
    </w:p>
    <w:p w14:paraId="655E0A4A" w14:textId="77777777" w:rsidR="00DB69C8" w:rsidRPr="00E54FFE" w:rsidRDefault="00DB69C8" w:rsidP="00E54FFE">
      <w:pPr>
        <w:spacing w:line="276" w:lineRule="auto"/>
        <w:ind w:left="567" w:hanging="567"/>
        <w:contextualSpacing/>
        <w:jc w:val="both"/>
        <w:rPr>
          <w:rFonts w:ascii="Arial" w:hAnsi="Arial" w:cs="Arial"/>
          <w:lang w:eastAsia="en-GB"/>
        </w:rPr>
      </w:pPr>
    </w:p>
    <w:p w14:paraId="50167D88" w14:textId="40E24265" w:rsidR="00B40986" w:rsidRPr="00DB69C8" w:rsidRDefault="00EB1A84" w:rsidP="00DB69C8">
      <w:pPr>
        <w:spacing w:line="276" w:lineRule="auto"/>
        <w:ind w:left="567" w:hanging="567"/>
        <w:contextualSpacing/>
        <w:jc w:val="both"/>
        <w:rPr>
          <w:rStyle w:val="normaltextrun1"/>
          <w:rFonts w:ascii="Arial" w:hAnsi="Arial" w:cs="Arial"/>
          <w:lang w:eastAsia="en-GB"/>
        </w:rPr>
      </w:pPr>
      <w:r>
        <w:rPr>
          <w:rStyle w:val="normaltextrun1"/>
          <w:rFonts w:ascii="Arial" w:hAnsi="Arial" w:cs="Arial"/>
        </w:rPr>
        <w:t>67</w:t>
      </w:r>
      <w:r w:rsidR="00DB69C8">
        <w:rPr>
          <w:rStyle w:val="normaltextrun1"/>
          <w:rFonts w:ascii="Arial" w:hAnsi="Arial" w:cs="Arial"/>
        </w:rPr>
        <w:t>.</w:t>
      </w:r>
      <w:r w:rsidR="00DB69C8">
        <w:rPr>
          <w:rStyle w:val="normaltextrun1"/>
          <w:rFonts w:ascii="Arial" w:hAnsi="Arial" w:cs="Arial"/>
        </w:rPr>
        <w:tab/>
      </w:r>
      <w:r w:rsidR="002F46A5" w:rsidRPr="00DB69C8">
        <w:rPr>
          <w:rStyle w:val="normaltextrun1"/>
          <w:rFonts w:ascii="Arial" w:hAnsi="Arial" w:cs="Arial"/>
        </w:rPr>
        <w:t xml:space="preserve">The HMT consultation </w:t>
      </w:r>
      <w:r w:rsidR="001F6734" w:rsidRPr="00DB69C8">
        <w:rPr>
          <w:rStyle w:val="normaltextrun1"/>
          <w:rFonts w:ascii="Arial" w:hAnsi="Arial" w:cs="Arial"/>
        </w:rPr>
        <w:t>on age discrimination applies across all the devolved Fire and Rescue Authorities, however separate responses will be made</w:t>
      </w:r>
      <w:r w:rsidR="002C77C7" w:rsidRPr="00DB69C8">
        <w:rPr>
          <w:rStyle w:val="normaltextrun1"/>
          <w:rFonts w:ascii="Arial" w:hAnsi="Arial" w:cs="Arial"/>
        </w:rPr>
        <w:t xml:space="preserve">.  </w:t>
      </w:r>
      <w:r w:rsidR="0020724A" w:rsidRPr="00DB69C8">
        <w:rPr>
          <w:rStyle w:val="normaltextrun1"/>
          <w:rFonts w:ascii="Arial" w:hAnsi="Arial" w:cs="Arial"/>
        </w:rPr>
        <w:t xml:space="preserve">References </w:t>
      </w:r>
      <w:r w:rsidR="002C77C7" w:rsidRPr="00DB69C8">
        <w:rPr>
          <w:rStyle w:val="normaltextrun1"/>
          <w:rFonts w:ascii="Arial" w:hAnsi="Arial" w:cs="Arial"/>
        </w:rPr>
        <w:t xml:space="preserve">in this report </w:t>
      </w:r>
      <w:r w:rsidR="0020724A" w:rsidRPr="00DB69C8">
        <w:rPr>
          <w:rStyle w:val="normaltextrun1"/>
          <w:rFonts w:ascii="Arial" w:hAnsi="Arial" w:cs="Arial"/>
        </w:rPr>
        <w:t xml:space="preserve">to the </w:t>
      </w:r>
      <w:r w:rsidR="005466C0" w:rsidRPr="00DB69C8">
        <w:rPr>
          <w:rStyle w:val="normaltextrun1"/>
          <w:rFonts w:ascii="Arial" w:hAnsi="Arial" w:cs="Arial"/>
        </w:rPr>
        <w:t>a</w:t>
      </w:r>
      <w:r w:rsidR="000869F1" w:rsidRPr="00DB69C8">
        <w:rPr>
          <w:rStyle w:val="normaltextrun1"/>
          <w:rFonts w:ascii="Arial" w:hAnsi="Arial" w:cs="Arial"/>
        </w:rPr>
        <w:t xml:space="preserve">ge </w:t>
      </w:r>
      <w:r w:rsidR="005466C0" w:rsidRPr="00DB69C8">
        <w:rPr>
          <w:rStyle w:val="normaltextrun1"/>
          <w:rFonts w:ascii="Arial" w:hAnsi="Arial" w:cs="Arial"/>
        </w:rPr>
        <w:t>d</w:t>
      </w:r>
      <w:r w:rsidR="000869F1" w:rsidRPr="00DB69C8">
        <w:rPr>
          <w:rStyle w:val="normaltextrun1"/>
          <w:rFonts w:ascii="Arial" w:hAnsi="Arial" w:cs="Arial"/>
        </w:rPr>
        <w:t xml:space="preserve">iscrimination </w:t>
      </w:r>
      <w:r w:rsidR="005466C0" w:rsidRPr="00DB69C8">
        <w:rPr>
          <w:rStyle w:val="normaltextrun1"/>
          <w:rFonts w:ascii="Arial" w:hAnsi="Arial" w:cs="Arial"/>
        </w:rPr>
        <w:t>consultation response are in relation to English</w:t>
      </w:r>
      <w:r w:rsidR="009127B6" w:rsidRPr="00DB69C8">
        <w:rPr>
          <w:rStyle w:val="normaltextrun1"/>
          <w:rFonts w:ascii="Arial" w:hAnsi="Arial" w:cs="Arial"/>
        </w:rPr>
        <w:t xml:space="preserve"> FRAs only, </w:t>
      </w:r>
      <w:r w:rsidR="0020724A" w:rsidRPr="00DB69C8">
        <w:rPr>
          <w:rStyle w:val="normaltextrun1"/>
          <w:rFonts w:ascii="Arial" w:hAnsi="Arial" w:cs="Arial"/>
        </w:rPr>
        <w:t xml:space="preserve">Wales has its own advisory board who </w:t>
      </w:r>
      <w:hyperlink r:id="rId23" w:history="1">
        <w:r w:rsidR="0020724A" w:rsidRPr="00DB69C8">
          <w:rPr>
            <w:rStyle w:val="Hyperlink"/>
            <w:rFonts w:ascii="Arial" w:hAnsi="Arial" w:cs="Arial"/>
          </w:rPr>
          <w:t>respond</w:t>
        </w:r>
        <w:r w:rsidR="00D42B4E" w:rsidRPr="00DB69C8">
          <w:rPr>
            <w:rStyle w:val="Hyperlink"/>
            <w:rFonts w:ascii="Arial" w:hAnsi="Arial" w:cs="Arial"/>
          </w:rPr>
          <w:t>ed</w:t>
        </w:r>
      </w:hyperlink>
      <w:r w:rsidR="0020724A" w:rsidRPr="00DB69C8">
        <w:rPr>
          <w:rStyle w:val="normaltextrun1"/>
          <w:rFonts w:ascii="Arial" w:hAnsi="Arial" w:cs="Arial"/>
        </w:rPr>
        <w:t xml:space="preserve"> separately to the government consultation on reform</w:t>
      </w:r>
      <w:r w:rsidR="002C77C7" w:rsidRPr="00DB69C8">
        <w:rPr>
          <w:rStyle w:val="normaltextrun1"/>
          <w:rFonts w:ascii="Arial" w:hAnsi="Arial" w:cs="Arial"/>
        </w:rPr>
        <w:t>.</w:t>
      </w:r>
    </w:p>
    <w:p w14:paraId="09DA9EEE" w14:textId="77777777" w:rsidR="00B40986" w:rsidRPr="00B40986" w:rsidRDefault="00B40986" w:rsidP="00B40986">
      <w:pPr>
        <w:pStyle w:val="ListParagraph"/>
        <w:rPr>
          <w:rStyle w:val="normaltextrun1"/>
          <w:rFonts w:ascii="Arial" w:hAnsi="Arial" w:cs="Arial"/>
        </w:rPr>
      </w:pPr>
    </w:p>
    <w:p w14:paraId="7E0B595F" w14:textId="038263CD" w:rsidR="0020724A" w:rsidRPr="00DB69C8" w:rsidRDefault="00EB1A84" w:rsidP="006E657B">
      <w:pPr>
        <w:spacing w:line="276" w:lineRule="auto"/>
        <w:ind w:left="567" w:hanging="567"/>
        <w:contextualSpacing/>
        <w:jc w:val="both"/>
        <w:rPr>
          <w:rStyle w:val="normaltextrun1"/>
          <w:rFonts w:ascii="Arial" w:hAnsi="Arial" w:cs="Arial"/>
          <w:lang w:eastAsia="en-GB"/>
        </w:rPr>
      </w:pPr>
      <w:r>
        <w:rPr>
          <w:rStyle w:val="normaltextrun1"/>
          <w:rFonts w:ascii="Arial" w:hAnsi="Arial" w:cs="Arial"/>
        </w:rPr>
        <w:t>68</w:t>
      </w:r>
      <w:r w:rsidR="006E657B">
        <w:rPr>
          <w:rStyle w:val="normaltextrun1"/>
          <w:rFonts w:ascii="Arial" w:hAnsi="Arial" w:cs="Arial"/>
        </w:rPr>
        <w:t>.</w:t>
      </w:r>
      <w:r w:rsidR="006E657B">
        <w:rPr>
          <w:rStyle w:val="normaltextrun1"/>
          <w:rFonts w:ascii="Arial" w:hAnsi="Arial" w:cs="Arial"/>
        </w:rPr>
        <w:tab/>
      </w:r>
      <w:r w:rsidR="002C77C7" w:rsidRPr="00DB69C8">
        <w:rPr>
          <w:rStyle w:val="normaltextrun1"/>
          <w:rFonts w:ascii="Arial" w:hAnsi="Arial" w:cs="Arial"/>
        </w:rPr>
        <w:t xml:space="preserve">The immediate detriment matters raised are the same in </w:t>
      </w:r>
      <w:r w:rsidR="00206D16" w:rsidRPr="00DB69C8">
        <w:rPr>
          <w:rStyle w:val="normaltextrun1"/>
          <w:rFonts w:ascii="Arial" w:hAnsi="Arial" w:cs="Arial"/>
        </w:rPr>
        <w:t>Wales</w:t>
      </w:r>
      <w:r w:rsidR="00A46D4E" w:rsidRPr="00DB69C8">
        <w:rPr>
          <w:rStyle w:val="normaltextrun1"/>
          <w:rFonts w:ascii="Arial" w:hAnsi="Arial" w:cs="Arial"/>
        </w:rPr>
        <w:t xml:space="preserve"> where the </w:t>
      </w:r>
      <w:r w:rsidR="00661F17" w:rsidRPr="00DB69C8">
        <w:rPr>
          <w:rStyle w:val="normaltextrun1"/>
          <w:rFonts w:ascii="Arial" w:hAnsi="Arial" w:cs="Arial"/>
        </w:rPr>
        <w:t xml:space="preserve">matter of </w:t>
      </w:r>
      <w:r w:rsidR="00A46D4E" w:rsidRPr="00DB69C8">
        <w:rPr>
          <w:rStyle w:val="normaltextrun1"/>
          <w:rFonts w:ascii="Arial" w:hAnsi="Arial" w:cs="Arial"/>
        </w:rPr>
        <w:t>Section 61</w:t>
      </w:r>
      <w:r w:rsidR="00661F17" w:rsidRPr="00DB69C8">
        <w:rPr>
          <w:rStyle w:val="normaltextrun1"/>
          <w:rFonts w:ascii="Arial" w:hAnsi="Arial" w:cs="Arial"/>
        </w:rPr>
        <w:t xml:space="preserve"> of the Equality Act also applies.  </w:t>
      </w:r>
      <w:r w:rsidR="009127B6" w:rsidRPr="00DB69C8">
        <w:rPr>
          <w:rStyle w:val="normaltextrun1"/>
          <w:rFonts w:ascii="Arial" w:hAnsi="Arial" w:cs="Arial"/>
        </w:rPr>
        <w:t>Welsh Government are dealing with immediate detriment cases arising from the guidance</w:t>
      </w:r>
      <w:r w:rsidR="0020724A" w:rsidRPr="00DB69C8">
        <w:rPr>
          <w:rStyle w:val="normaltextrun1"/>
          <w:rFonts w:ascii="Arial" w:hAnsi="Arial" w:cs="Arial"/>
        </w:rPr>
        <w:t>.</w:t>
      </w:r>
    </w:p>
    <w:p w14:paraId="0A2D0EFC" w14:textId="77777777" w:rsidR="00A46D4E" w:rsidRPr="00A46D4E" w:rsidRDefault="00A46D4E" w:rsidP="00A46D4E">
      <w:pPr>
        <w:pStyle w:val="ListParagraph"/>
        <w:rPr>
          <w:rFonts w:ascii="Arial" w:hAnsi="Arial" w:cs="Arial"/>
          <w:lang w:eastAsia="en-GB"/>
        </w:rPr>
      </w:pPr>
    </w:p>
    <w:p w14:paraId="161392ED" w14:textId="77777777" w:rsidR="0020724A" w:rsidRPr="002C1EF2" w:rsidRDefault="0020724A" w:rsidP="004D06FC">
      <w:pPr>
        <w:jc w:val="both"/>
        <w:rPr>
          <w:rFonts w:ascii="Arial" w:hAnsi="Arial" w:cs="Arial"/>
          <w:b/>
          <w:color w:val="000000"/>
        </w:rPr>
      </w:pPr>
    </w:p>
    <w:sectPr w:rsidR="0020724A" w:rsidRPr="002C1EF2" w:rsidSect="00D32E7C">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DB047" w14:textId="77777777" w:rsidR="008A277C" w:rsidRDefault="008A277C">
      <w:r>
        <w:separator/>
      </w:r>
    </w:p>
  </w:endnote>
  <w:endnote w:type="continuationSeparator" w:id="0">
    <w:p w14:paraId="2641CB72" w14:textId="77777777" w:rsidR="008A277C" w:rsidRDefault="008A277C">
      <w:r>
        <w:continuationSeparator/>
      </w:r>
    </w:p>
  </w:endnote>
  <w:endnote w:type="continuationNotice" w:id="1">
    <w:p w14:paraId="779EA94B" w14:textId="77777777" w:rsidR="008A277C" w:rsidRDefault="008A2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Malgun Goth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258C1" w14:textId="77777777" w:rsidR="00516804" w:rsidRDefault="00516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94FB5" w14:textId="77777777" w:rsidR="00516804" w:rsidRDefault="005168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51D14" w14:textId="77777777" w:rsidR="00516804" w:rsidRDefault="00516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57595" w14:textId="77777777" w:rsidR="008A277C" w:rsidRDefault="008A277C">
      <w:r>
        <w:separator/>
      </w:r>
    </w:p>
  </w:footnote>
  <w:footnote w:type="continuationSeparator" w:id="0">
    <w:p w14:paraId="28DD021E" w14:textId="77777777" w:rsidR="008A277C" w:rsidRDefault="008A277C">
      <w:r>
        <w:continuationSeparator/>
      </w:r>
    </w:p>
  </w:footnote>
  <w:footnote w:type="continuationNotice" w:id="1">
    <w:p w14:paraId="41784EFB" w14:textId="77777777" w:rsidR="008A277C" w:rsidRDefault="008A277C"/>
  </w:footnote>
  <w:footnote w:id="2">
    <w:p w14:paraId="7107E181" w14:textId="382AB573" w:rsidR="00077377" w:rsidRDefault="00077377">
      <w:pPr>
        <w:pStyle w:val="FootnoteText"/>
      </w:pPr>
      <w:r>
        <w:rPr>
          <w:rStyle w:val="FootnoteReference"/>
        </w:rPr>
        <w:footnoteRef/>
      </w:r>
      <w:r>
        <w:t xml:space="preserve"> </w:t>
      </w:r>
      <w:hyperlink r:id="rId1" w:history="1">
        <w:r w:rsidRPr="00BB1971">
          <w:rPr>
            <w:rStyle w:val="Hyperlink"/>
          </w:rPr>
          <w:t>https://www.legislation.gov.uk/uksi/2015/465/regulation/5/made</w:t>
        </w:r>
      </w:hyperlink>
      <w:r>
        <w:t xml:space="preserve"> </w:t>
      </w:r>
    </w:p>
  </w:footnote>
  <w:footnote w:id="3">
    <w:p w14:paraId="68BDC3AC" w14:textId="77777777" w:rsidR="001F474D" w:rsidRDefault="001F474D" w:rsidP="001F474D">
      <w:pPr>
        <w:pStyle w:val="FootnoteText"/>
      </w:pPr>
      <w:r>
        <w:rPr>
          <w:rStyle w:val="FootnoteReference"/>
        </w:rPr>
        <w:footnoteRef/>
      </w:r>
      <w:r>
        <w:t xml:space="preserve"> Table 3.6 - </w:t>
      </w:r>
      <w:hyperlink r:id="rId2" w:history="1">
        <w:r w:rsidRPr="00BB1971">
          <w:rPr>
            <w:rStyle w:val="Hyperlink"/>
          </w:rPr>
          <w:t>https://www.fpsregs.org/images/Valuation/Valuation2016FV.pdf</w:t>
        </w:r>
      </w:hyperlink>
      <w:r>
        <w:t xml:space="preserve"> </w:t>
      </w:r>
    </w:p>
  </w:footnote>
  <w:footnote w:id="4">
    <w:p w14:paraId="7138BBCE" w14:textId="6301D938" w:rsidR="000E7531" w:rsidRDefault="000E7531">
      <w:pPr>
        <w:pStyle w:val="FootnoteText"/>
      </w:pPr>
      <w:r>
        <w:rPr>
          <w:rStyle w:val="FootnoteReference"/>
        </w:rPr>
        <w:footnoteRef/>
      </w:r>
      <w:r>
        <w:t xml:space="preserve"> </w:t>
      </w:r>
      <w:hyperlink r:id="rId3" w:history="1">
        <w:r w:rsidRPr="00BB1971">
          <w:rPr>
            <w:rStyle w:val="Hyperlink"/>
          </w:rPr>
          <w:t>https://questions-statements.parliament.uk/written-statements/detail/2020-07-16/HCWS380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0A63C" w14:textId="77777777" w:rsidR="00516804" w:rsidRDefault="00516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DFC41" w14:textId="300DCA11" w:rsidR="00CE1AFF" w:rsidRDefault="00CE1AFF">
    <w:pPr>
      <w:pStyle w:val="Header"/>
    </w:pPr>
  </w:p>
  <w:tbl>
    <w:tblPr>
      <w:tblW w:w="0" w:type="auto"/>
      <w:tblLook w:val="01E0" w:firstRow="1" w:lastRow="1" w:firstColumn="1" w:lastColumn="1" w:noHBand="0" w:noVBand="0"/>
    </w:tblPr>
    <w:tblGrid>
      <w:gridCol w:w="4962"/>
      <w:gridCol w:w="4325"/>
    </w:tblGrid>
    <w:tr w:rsidR="00CE1AFF" w:rsidRPr="00C23A63" w14:paraId="35F1F1FD" w14:textId="77777777" w:rsidTr="00516804">
      <w:tc>
        <w:tcPr>
          <w:tcW w:w="4962" w:type="dxa"/>
          <w:vMerge w:val="restart"/>
          <w:shd w:val="clear" w:color="auto" w:fill="auto"/>
          <w:hideMark/>
        </w:tcPr>
        <w:p w14:paraId="1F632999" w14:textId="77777777" w:rsidR="00CE1AFF" w:rsidRDefault="3B8FF655" w:rsidP="00FE08B6">
          <w:pPr>
            <w:pStyle w:val="Header"/>
          </w:pPr>
          <w:r>
            <w:rPr>
              <w:noProof/>
            </w:rPr>
            <w:drawing>
              <wp:inline distT="0" distB="0" distL="0" distR="0" wp14:anchorId="0C2F84E2" wp14:editId="15294012">
                <wp:extent cx="1085850" cy="647700"/>
                <wp:effectExtent l="0" t="0" r="0" b="0"/>
                <wp:docPr id="13729439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85850" cy="647700"/>
                        </a:xfrm>
                        <a:prstGeom prst="rect">
                          <a:avLst/>
                        </a:prstGeom>
                      </pic:spPr>
                    </pic:pic>
                  </a:graphicData>
                </a:graphic>
              </wp:inline>
            </w:drawing>
          </w:r>
        </w:p>
      </w:tc>
      <w:tc>
        <w:tcPr>
          <w:tcW w:w="4325" w:type="dxa"/>
          <w:shd w:val="clear" w:color="auto" w:fill="auto"/>
          <w:hideMark/>
        </w:tcPr>
        <w:p w14:paraId="3A3FA035" w14:textId="77777777" w:rsidR="00CE1AFF" w:rsidRPr="00C23A63" w:rsidRDefault="00CE1AFF" w:rsidP="00FE08B6">
          <w:pPr>
            <w:pStyle w:val="Header"/>
            <w:rPr>
              <w:b/>
            </w:rPr>
          </w:pPr>
          <w:r w:rsidRPr="00C23A63">
            <w:rPr>
              <w:rFonts w:ascii="Arial" w:hAnsi="Arial" w:cs="Arial"/>
              <w:b/>
            </w:rPr>
            <w:t>Fire</w:t>
          </w:r>
          <w:r>
            <w:rPr>
              <w:rFonts w:ascii="Arial" w:hAnsi="Arial" w:cs="Arial"/>
              <w:b/>
            </w:rPr>
            <w:t xml:space="preserve"> Services Management Committee</w:t>
          </w:r>
        </w:p>
      </w:tc>
    </w:tr>
    <w:tr w:rsidR="00CE1AFF" w:rsidRPr="00C23A63" w14:paraId="77C665B8" w14:textId="77777777" w:rsidTr="00516804">
      <w:trPr>
        <w:trHeight w:val="450"/>
      </w:trPr>
      <w:tc>
        <w:tcPr>
          <w:tcW w:w="4962" w:type="dxa"/>
          <w:vMerge/>
          <w:vAlign w:val="center"/>
          <w:hideMark/>
        </w:tcPr>
        <w:p w14:paraId="1DDD3D7F" w14:textId="77777777" w:rsidR="00CE1AFF" w:rsidRDefault="00CE1AFF" w:rsidP="00FE08B6"/>
      </w:tc>
      <w:tc>
        <w:tcPr>
          <w:tcW w:w="4325" w:type="dxa"/>
          <w:shd w:val="clear" w:color="auto" w:fill="auto"/>
          <w:hideMark/>
        </w:tcPr>
        <w:p w14:paraId="4B8CE8A9" w14:textId="2A03E6A9" w:rsidR="00CE1AFF" w:rsidRPr="00C23A63" w:rsidRDefault="00CE60F8" w:rsidP="00FE08B6">
          <w:pPr>
            <w:pStyle w:val="Header"/>
            <w:spacing w:before="60"/>
            <w:rPr>
              <w:rFonts w:ascii="Arial" w:hAnsi="Arial" w:cs="Arial"/>
            </w:rPr>
          </w:pPr>
          <w:r>
            <w:rPr>
              <w:rFonts w:ascii="Arial" w:hAnsi="Arial" w:cs="Arial"/>
            </w:rPr>
            <w:t>5 March 2021</w:t>
          </w:r>
        </w:p>
      </w:tc>
    </w:tr>
    <w:tr w:rsidR="00CE1AFF" w:rsidRPr="00C23A63" w14:paraId="7E666BAB" w14:textId="77777777" w:rsidTr="00516804">
      <w:trPr>
        <w:trHeight w:val="450"/>
      </w:trPr>
      <w:tc>
        <w:tcPr>
          <w:tcW w:w="4962" w:type="dxa"/>
          <w:vMerge/>
          <w:vAlign w:val="center"/>
          <w:hideMark/>
        </w:tcPr>
        <w:p w14:paraId="11394B3E" w14:textId="77777777" w:rsidR="00CE1AFF" w:rsidRDefault="00CE1AFF" w:rsidP="00FE08B6"/>
      </w:tc>
      <w:tc>
        <w:tcPr>
          <w:tcW w:w="4325" w:type="dxa"/>
          <w:shd w:val="clear" w:color="auto" w:fill="auto"/>
          <w:vAlign w:val="bottom"/>
          <w:hideMark/>
        </w:tcPr>
        <w:p w14:paraId="5E0845B0" w14:textId="6CAF2F79" w:rsidR="00CE1AFF" w:rsidRPr="00C23A63" w:rsidRDefault="00CE1AFF" w:rsidP="00FE08B6">
          <w:pPr>
            <w:pStyle w:val="Header"/>
            <w:spacing w:before="60"/>
            <w:rPr>
              <w:rFonts w:ascii="Arial" w:hAnsi="Arial" w:cs="Arial"/>
              <w:b/>
            </w:rPr>
          </w:pPr>
        </w:p>
      </w:tc>
    </w:tr>
  </w:tbl>
  <w:p w14:paraId="6192C432" w14:textId="77777777" w:rsidR="00CE1AFF" w:rsidRPr="00043343" w:rsidRDefault="00CE1AFF" w:rsidP="00B76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FEA7A" w14:textId="77777777" w:rsidR="00516804" w:rsidRDefault="00516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E3419"/>
    <w:multiLevelType w:val="hybridMultilevel"/>
    <w:tmpl w:val="569ACE2C"/>
    <w:lvl w:ilvl="0" w:tplc="48FA160A">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1B6A2C3C">
      <w:numFmt w:val="bullet"/>
      <w:lvlText w:val="•"/>
      <w:lvlJc w:val="left"/>
      <w:pPr>
        <w:ind w:left="1980" w:hanging="360"/>
      </w:pPr>
      <w:rPr>
        <w:rFonts w:ascii="Arial" w:eastAsia="Times New Roman"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6717C9"/>
    <w:multiLevelType w:val="hybridMultilevel"/>
    <w:tmpl w:val="CDA24FA0"/>
    <w:lvl w:ilvl="0" w:tplc="56DEF938">
      <w:start w:val="1"/>
      <w:numFmt w:val="lowerLetter"/>
      <w:lvlText w:val="(%1)"/>
      <w:lvlJc w:val="left"/>
      <w:pPr>
        <w:ind w:left="270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 w15:restartNumberingAfterBreak="0">
    <w:nsid w:val="0E8767AA"/>
    <w:multiLevelType w:val="hybridMultilevel"/>
    <w:tmpl w:val="6B90E3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111FA9"/>
    <w:multiLevelType w:val="hybridMultilevel"/>
    <w:tmpl w:val="3BF489FE"/>
    <w:lvl w:ilvl="0" w:tplc="6E90F500">
      <w:start w:val="1"/>
      <w:numFmt w:val="decimal"/>
      <w:pStyle w:val="Bodycopy"/>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ED72F4"/>
    <w:multiLevelType w:val="hybridMultilevel"/>
    <w:tmpl w:val="BC547D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A722B48"/>
    <w:multiLevelType w:val="hybridMultilevel"/>
    <w:tmpl w:val="E7460534"/>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A335CF"/>
    <w:multiLevelType w:val="hybridMultilevel"/>
    <w:tmpl w:val="03B239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E8E6362"/>
    <w:multiLevelType w:val="hybridMultilevel"/>
    <w:tmpl w:val="B30A1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E25663"/>
    <w:multiLevelType w:val="hybridMultilevel"/>
    <w:tmpl w:val="BAA03E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FE61B1C"/>
    <w:multiLevelType w:val="hybridMultilevel"/>
    <w:tmpl w:val="B8F066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393772B"/>
    <w:multiLevelType w:val="multilevel"/>
    <w:tmpl w:val="9DBE0EC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D54309"/>
    <w:multiLevelType w:val="hybridMultilevel"/>
    <w:tmpl w:val="D1C8938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2" w15:restartNumberingAfterBreak="0">
    <w:nsid w:val="267A5442"/>
    <w:multiLevelType w:val="multilevel"/>
    <w:tmpl w:val="BC349574"/>
    <w:lvl w:ilvl="0">
      <w:start w:val="1"/>
      <w:numFmt w:val="decimal"/>
      <w:lvlText w:val="%1."/>
      <w:lvlJc w:val="left"/>
      <w:pPr>
        <w:ind w:left="360" w:hanging="360"/>
      </w:pPr>
      <w:rPr>
        <w:rFonts w:hint="default"/>
        <w:b w:val="0"/>
        <w:i w:val="0"/>
      </w:rPr>
    </w:lvl>
    <w:lvl w:ilvl="1">
      <w:start w:val="1"/>
      <w:numFmt w:val="decimal"/>
      <w:lvlText w:val="%1.%2."/>
      <w:lvlJc w:val="left"/>
      <w:pPr>
        <w:ind w:left="794" w:hanging="4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DB3B9F"/>
    <w:multiLevelType w:val="hybridMultilevel"/>
    <w:tmpl w:val="967EFE3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D0031C"/>
    <w:multiLevelType w:val="hybridMultilevel"/>
    <w:tmpl w:val="D9A40674"/>
    <w:lvl w:ilvl="0" w:tplc="08090001">
      <w:start w:val="1"/>
      <w:numFmt w:val="bullet"/>
      <w:lvlText w:val=""/>
      <w:lvlJc w:val="left"/>
      <w:pPr>
        <w:ind w:left="360" w:hanging="360"/>
      </w:pPr>
      <w:rPr>
        <w:rFonts w:ascii="Symbol" w:hAnsi="Symbol" w:hint="default"/>
        <w:b w:val="0"/>
      </w:rPr>
    </w:lvl>
    <w:lvl w:ilvl="1" w:tplc="08090001">
      <w:start w:val="1"/>
      <w:numFmt w:val="bullet"/>
      <w:lvlText w:val=""/>
      <w:lvlJc w:val="left"/>
      <w:pPr>
        <w:ind w:left="1080" w:hanging="360"/>
      </w:pPr>
      <w:rPr>
        <w:rFonts w:ascii="Symbol" w:hAnsi="Symbol" w:hint="default"/>
      </w:rPr>
    </w:lvl>
    <w:lvl w:ilvl="2" w:tplc="1B6A2C3C">
      <w:numFmt w:val="bullet"/>
      <w:lvlText w:val="•"/>
      <w:lvlJc w:val="left"/>
      <w:pPr>
        <w:ind w:left="1980" w:hanging="360"/>
      </w:pPr>
      <w:rPr>
        <w:rFonts w:ascii="Arial" w:eastAsia="Times New Roman"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1D97FD5"/>
    <w:multiLevelType w:val="hybridMultilevel"/>
    <w:tmpl w:val="06843A26"/>
    <w:lvl w:ilvl="0" w:tplc="DA603C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24D6431"/>
    <w:multiLevelType w:val="hybridMultilevel"/>
    <w:tmpl w:val="143A41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301F36"/>
    <w:multiLevelType w:val="hybridMultilevel"/>
    <w:tmpl w:val="296687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DB517BC"/>
    <w:multiLevelType w:val="hybridMultilevel"/>
    <w:tmpl w:val="837A5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7F0222"/>
    <w:multiLevelType w:val="hybridMultilevel"/>
    <w:tmpl w:val="F2009F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9C34F9"/>
    <w:multiLevelType w:val="hybridMultilevel"/>
    <w:tmpl w:val="9C584860"/>
    <w:lvl w:ilvl="0" w:tplc="0B2C18E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AF0F94"/>
    <w:multiLevelType w:val="hybridMultilevel"/>
    <w:tmpl w:val="6466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F15720"/>
    <w:multiLevelType w:val="hybridMultilevel"/>
    <w:tmpl w:val="FCCA6F4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B4F4B49"/>
    <w:multiLevelType w:val="hybridMultilevel"/>
    <w:tmpl w:val="C562B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646755"/>
    <w:multiLevelType w:val="multilevel"/>
    <w:tmpl w:val="919C7E1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557506"/>
    <w:multiLevelType w:val="hybridMultilevel"/>
    <w:tmpl w:val="61EAC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D10BCC"/>
    <w:multiLevelType w:val="hybridMultilevel"/>
    <w:tmpl w:val="D169C5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16E16F7"/>
    <w:multiLevelType w:val="hybridMultilevel"/>
    <w:tmpl w:val="77544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833B11"/>
    <w:multiLevelType w:val="hybridMultilevel"/>
    <w:tmpl w:val="AB6E4534"/>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6DF10CEF"/>
    <w:multiLevelType w:val="hybridMultilevel"/>
    <w:tmpl w:val="045F01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7971F1B"/>
    <w:multiLevelType w:val="hybridMultilevel"/>
    <w:tmpl w:val="2D42C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BD52DB"/>
    <w:multiLevelType w:val="hybridMultilevel"/>
    <w:tmpl w:val="C29683A4"/>
    <w:lvl w:ilvl="0" w:tplc="48FA160A">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CDE2E80"/>
    <w:multiLevelType w:val="hybridMultilevel"/>
    <w:tmpl w:val="31FC114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0"/>
  </w:num>
  <w:num w:numId="6">
    <w:abstractNumId w:val="16"/>
  </w:num>
  <w:num w:numId="7">
    <w:abstractNumId w:val="18"/>
  </w:num>
  <w:num w:numId="8">
    <w:abstractNumId w:val="10"/>
  </w:num>
  <w:num w:numId="9">
    <w:abstractNumId w:val="32"/>
  </w:num>
  <w:num w:numId="10">
    <w:abstractNumId w:val="21"/>
  </w:num>
  <w:num w:numId="11">
    <w:abstractNumId w:val="20"/>
  </w:num>
  <w:num w:numId="12">
    <w:abstractNumId w:val="13"/>
  </w:num>
  <w:num w:numId="13">
    <w:abstractNumId w:val="19"/>
  </w:num>
  <w:num w:numId="14">
    <w:abstractNumId w:val="5"/>
  </w:num>
  <w:num w:numId="15">
    <w:abstractNumId w:val="12"/>
  </w:num>
  <w:num w:numId="16">
    <w:abstractNumId w:val="17"/>
  </w:num>
  <w:num w:numId="17">
    <w:abstractNumId w:val="6"/>
  </w:num>
  <w:num w:numId="18">
    <w:abstractNumId w:val="11"/>
  </w:num>
  <w:num w:numId="19">
    <w:abstractNumId w:val="31"/>
  </w:num>
  <w:num w:numId="20">
    <w:abstractNumId w:val="26"/>
  </w:num>
  <w:num w:numId="21">
    <w:abstractNumId w:val="8"/>
  </w:num>
  <w:num w:numId="22">
    <w:abstractNumId w:val="15"/>
  </w:num>
  <w:num w:numId="23">
    <w:abstractNumId w:val="2"/>
  </w:num>
  <w:num w:numId="24">
    <w:abstractNumId w:val="9"/>
  </w:num>
  <w:num w:numId="25">
    <w:abstractNumId w:val="25"/>
  </w:num>
  <w:num w:numId="26">
    <w:abstractNumId w:val="29"/>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7"/>
  </w:num>
  <w:num w:numId="30">
    <w:abstractNumId w:val="28"/>
  </w:num>
  <w:num w:numId="31">
    <w:abstractNumId w:val="27"/>
  </w:num>
  <w:num w:numId="32">
    <w:abstractNumId w:val="3"/>
  </w:num>
  <w:num w:numId="33">
    <w:abstractNumId w:val="14"/>
  </w:num>
  <w:num w:numId="34">
    <w:abstractNumId w:val="2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60"/>
    <w:rsid w:val="00001C17"/>
    <w:rsid w:val="00002AC5"/>
    <w:rsid w:val="00003073"/>
    <w:rsid w:val="00005A4C"/>
    <w:rsid w:val="00005BD6"/>
    <w:rsid w:val="000062A7"/>
    <w:rsid w:val="00006F0A"/>
    <w:rsid w:val="000076FE"/>
    <w:rsid w:val="00007831"/>
    <w:rsid w:val="0001037C"/>
    <w:rsid w:val="00010B61"/>
    <w:rsid w:val="00011193"/>
    <w:rsid w:val="00011C25"/>
    <w:rsid w:val="00012DC3"/>
    <w:rsid w:val="00012DF4"/>
    <w:rsid w:val="00013529"/>
    <w:rsid w:val="0001364A"/>
    <w:rsid w:val="000146BA"/>
    <w:rsid w:val="00014A67"/>
    <w:rsid w:val="00016E4C"/>
    <w:rsid w:val="0001706F"/>
    <w:rsid w:val="0001769A"/>
    <w:rsid w:val="000205BB"/>
    <w:rsid w:val="000212CD"/>
    <w:rsid w:val="0002207F"/>
    <w:rsid w:val="0002224D"/>
    <w:rsid w:val="0002260B"/>
    <w:rsid w:val="000226E9"/>
    <w:rsid w:val="00023BE1"/>
    <w:rsid w:val="0002507A"/>
    <w:rsid w:val="00025696"/>
    <w:rsid w:val="00030F7F"/>
    <w:rsid w:val="00031C67"/>
    <w:rsid w:val="000325E5"/>
    <w:rsid w:val="00033C6D"/>
    <w:rsid w:val="00034C23"/>
    <w:rsid w:val="0003549B"/>
    <w:rsid w:val="00036452"/>
    <w:rsid w:val="0003703E"/>
    <w:rsid w:val="00037817"/>
    <w:rsid w:val="0004151F"/>
    <w:rsid w:val="000415B5"/>
    <w:rsid w:val="00042A24"/>
    <w:rsid w:val="00043343"/>
    <w:rsid w:val="00043F05"/>
    <w:rsid w:val="0004411B"/>
    <w:rsid w:val="000454AB"/>
    <w:rsid w:val="00045B45"/>
    <w:rsid w:val="00045D4D"/>
    <w:rsid w:val="000477C3"/>
    <w:rsid w:val="00050376"/>
    <w:rsid w:val="0005090E"/>
    <w:rsid w:val="00051439"/>
    <w:rsid w:val="0005198E"/>
    <w:rsid w:val="000527E4"/>
    <w:rsid w:val="00052D1E"/>
    <w:rsid w:val="00054AB9"/>
    <w:rsid w:val="00056C8D"/>
    <w:rsid w:val="00057223"/>
    <w:rsid w:val="000608A1"/>
    <w:rsid w:val="0006170B"/>
    <w:rsid w:val="00061DE4"/>
    <w:rsid w:val="00063301"/>
    <w:rsid w:val="000637A8"/>
    <w:rsid w:val="00063A3F"/>
    <w:rsid w:val="000663A3"/>
    <w:rsid w:val="00066C4A"/>
    <w:rsid w:val="00070BA6"/>
    <w:rsid w:val="000712B5"/>
    <w:rsid w:val="000729EE"/>
    <w:rsid w:val="00072A86"/>
    <w:rsid w:val="000730C4"/>
    <w:rsid w:val="000758FA"/>
    <w:rsid w:val="000768BF"/>
    <w:rsid w:val="0007717F"/>
    <w:rsid w:val="00077377"/>
    <w:rsid w:val="000777A0"/>
    <w:rsid w:val="000777B3"/>
    <w:rsid w:val="00077AE4"/>
    <w:rsid w:val="00077C5D"/>
    <w:rsid w:val="00077D26"/>
    <w:rsid w:val="00081814"/>
    <w:rsid w:val="000826EB"/>
    <w:rsid w:val="00083D9F"/>
    <w:rsid w:val="00084DC2"/>
    <w:rsid w:val="00085DC1"/>
    <w:rsid w:val="00086372"/>
    <w:rsid w:val="000869F1"/>
    <w:rsid w:val="00086AA0"/>
    <w:rsid w:val="00086C0A"/>
    <w:rsid w:val="00087376"/>
    <w:rsid w:val="00090713"/>
    <w:rsid w:val="00090BB0"/>
    <w:rsid w:val="00091065"/>
    <w:rsid w:val="00091D04"/>
    <w:rsid w:val="00092A08"/>
    <w:rsid w:val="00094671"/>
    <w:rsid w:val="00094C7F"/>
    <w:rsid w:val="000958D1"/>
    <w:rsid w:val="00095926"/>
    <w:rsid w:val="0009695C"/>
    <w:rsid w:val="000A026A"/>
    <w:rsid w:val="000A0CD7"/>
    <w:rsid w:val="000A0D97"/>
    <w:rsid w:val="000A1845"/>
    <w:rsid w:val="000A2282"/>
    <w:rsid w:val="000A22B8"/>
    <w:rsid w:val="000A2324"/>
    <w:rsid w:val="000A24CE"/>
    <w:rsid w:val="000A2B48"/>
    <w:rsid w:val="000A564F"/>
    <w:rsid w:val="000A5F84"/>
    <w:rsid w:val="000A62C9"/>
    <w:rsid w:val="000B0221"/>
    <w:rsid w:val="000B1DBD"/>
    <w:rsid w:val="000B1DE8"/>
    <w:rsid w:val="000B31DA"/>
    <w:rsid w:val="000B3A43"/>
    <w:rsid w:val="000B4BD5"/>
    <w:rsid w:val="000B51AA"/>
    <w:rsid w:val="000B5AB9"/>
    <w:rsid w:val="000B70A7"/>
    <w:rsid w:val="000B74B6"/>
    <w:rsid w:val="000B760B"/>
    <w:rsid w:val="000C1EFB"/>
    <w:rsid w:val="000C1F43"/>
    <w:rsid w:val="000C2318"/>
    <w:rsid w:val="000C2CD2"/>
    <w:rsid w:val="000C2DBA"/>
    <w:rsid w:val="000C2EE9"/>
    <w:rsid w:val="000C51A1"/>
    <w:rsid w:val="000C635B"/>
    <w:rsid w:val="000C6E61"/>
    <w:rsid w:val="000D0659"/>
    <w:rsid w:val="000D0D29"/>
    <w:rsid w:val="000D2116"/>
    <w:rsid w:val="000D431F"/>
    <w:rsid w:val="000D4373"/>
    <w:rsid w:val="000D46EF"/>
    <w:rsid w:val="000D63A0"/>
    <w:rsid w:val="000D644C"/>
    <w:rsid w:val="000D7A5A"/>
    <w:rsid w:val="000D7CBD"/>
    <w:rsid w:val="000E3249"/>
    <w:rsid w:val="000E38E2"/>
    <w:rsid w:val="000E3AC7"/>
    <w:rsid w:val="000E3BF4"/>
    <w:rsid w:val="000E4414"/>
    <w:rsid w:val="000E4B68"/>
    <w:rsid w:val="000E621C"/>
    <w:rsid w:val="000E7531"/>
    <w:rsid w:val="000E7640"/>
    <w:rsid w:val="000F2893"/>
    <w:rsid w:val="000F31EC"/>
    <w:rsid w:val="000F3D41"/>
    <w:rsid w:val="000F47E3"/>
    <w:rsid w:val="000F4818"/>
    <w:rsid w:val="000F4F78"/>
    <w:rsid w:val="000F5ACE"/>
    <w:rsid w:val="000F6BC0"/>
    <w:rsid w:val="0010023F"/>
    <w:rsid w:val="00101100"/>
    <w:rsid w:val="0010256B"/>
    <w:rsid w:val="00103AC9"/>
    <w:rsid w:val="00104B9C"/>
    <w:rsid w:val="00104D52"/>
    <w:rsid w:val="00105DCE"/>
    <w:rsid w:val="00106740"/>
    <w:rsid w:val="00107413"/>
    <w:rsid w:val="0010780C"/>
    <w:rsid w:val="00110F11"/>
    <w:rsid w:val="00111380"/>
    <w:rsid w:val="0011190A"/>
    <w:rsid w:val="00112435"/>
    <w:rsid w:val="001136A2"/>
    <w:rsid w:val="001161DB"/>
    <w:rsid w:val="00116B58"/>
    <w:rsid w:val="00117343"/>
    <w:rsid w:val="00117542"/>
    <w:rsid w:val="00117A6B"/>
    <w:rsid w:val="00117E4A"/>
    <w:rsid w:val="001214B0"/>
    <w:rsid w:val="00123044"/>
    <w:rsid w:val="00123087"/>
    <w:rsid w:val="00123A96"/>
    <w:rsid w:val="00124087"/>
    <w:rsid w:val="00124C82"/>
    <w:rsid w:val="001255DC"/>
    <w:rsid w:val="00125C8D"/>
    <w:rsid w:val="00127A20"/>
    <w:rsid w:val="00130030"/>
    <w:rsid w:val="00131727"/>
    <w:rsid w:val="00131A9C"/>
    <w:rsid w:val="001324CB"/>
    <w:rsid w:val="00132878"/>
    <w:rsid w:val="00133571"/>
    <w:rsid w:val="0013382D"/>
    <w:rsid w:val="00133DD6"/>
    <w:rsid w:val="00135A9C"/>
    <w:rsid w:val="00135F45"/>
    <w:rsid w:val="001373ED"/>
    <w:rsid w:val="0013752C"/>
    <w:rsid w:val="001402E3"/>
    <w:rsid w:val="00143527"/>
    <w:rsid w:val="00144D51"/>
    <w:rsid w:val="00144F01"/>
    <w:rsid w:val="00145F79"/>
    <w:rsid w:val="00146AC3"/>
    <w:rsid w:val="00147261"/>
    <w:rsid w:val="0014729B"/>
    <w:rsid w:val="001477C4"/>
    <w:rsid w:val="0015175C"/>
    <w:rsid w:val="00151FA4"/>
    <w:rsid w:val="00154175"/>
    <w:rsid w:val="00154A7D"/>
    <w:rsid w:val="00154E1F"/>
    <w:rsid w:val="0015781A"/>
    <w:rsid w:val="001579FE"/>
    <w:rsid w:val="001611FD"/>
    <w:rsid w:val="00162BCB"/>
    <w:rsid w:val="00162DEA"/>
    <w:rsid w:val="001636B4"/>
    <w:rsid w:val="001642C7"/>
    <w:rsid w:val="001649C0"/>
    <w:rsid w:val="00165B1C"/>
    <w:rsid w:val="001723CF"/>
    <w:rsid w:val="001739F0"/>
    <w:rsid w:val="00173DB5"/>
    <w:rsid w:val="0017418C"/>
    <w:rsid w:val="00174416"/>
    <w:rsid w:val="00174FB7"/>
    <w:rsid w:val="001757AF"/>
    <w:rsid w:val="00177662"/>
    <w:rsid w:val="00180162"/>
    <w:rsid w:val="00180417"/>
    <w:rsid w:val="0018090C"/>
    <w:rsid w:val="00180D1D"/>
    <w:rsid w:val="0018238D"/>
    <w:rsid w:val="00183FC3"/>
    <w:rsid w:val="0018533B"/>
    <w:rsid w:val="0018576A"/>
    <w:rsid w:val="00187525"/>
    <w:rsid w:val="00187702"/>
    <w:rsid w:val="00187A59"/>
    <w:rsid w:val="00190CAF"/>
    <w:rsid w:val="00190FC0"/>
    <w:rsid w:val="00191A78"/>
    <w:rsid w:val="00192BCC"/>
    <w:rsid w:val="0019379B"/>
    <w:rsid w:val="00193D07"/>
    <w:rsid w:val="00195347"/>
    <w:rsid w:val="00195DA4"/>
    <w:rsid w:val="00196D51"/>
    <w:rsid w:val="00196FE5"/>
    <w:rsid w:val="001970BA"/>
    <w:rsid w:val="00197748"/>
    <w:rsid w:val="00197ECC"/>
    <w:rsid w:val="001A0C31"/>
    <w:rsid w:val="001A1C84"/>
    <w:rsid w:val="001A20A0"/>
    <w:rsid w:val="001A31CB"/>
    <w:rsid w:val="001A3938"/>
    <w:rsid w:val="001A4ED0"/>
    <w:rsid w:val="001A4F7A"/>
    <w:rsid w:val="001A619C"/>
    <w:rsid w:val="001A6A81"/>
    <w:rsid w:val="001A706D"/>
    <w:rsid w:val="001A74CC"/>
    <w:rsid w:val="001A7992"/>
    <w:rsid w:val="001A7B18"/>
    <w:rsid w:val="001B02DC"/>
    <w:rsid w:val="001B1474"/>
    <w:rsid w:val="001B4071"/>
    <w:rsid w:val="001B6473"/>
    <w:rsid w:val="001B798A"/>
    <w:rsid w:val="001C007C"/>
    <w:rsid w:val="001C013A"/>
    <w:rsid w:val="001C09A8"/>
    <w:rsid w:val="001C4FB9"/>
    <w:rsid w:val="001C5596"/>
    <w:rsid w:val="001C6188"/>
    <w:rsid w:val="001C618A"/>
    <w:rsid w:val="001C760D"/>
    <w:rsid w:val="001C7E30"/>
    <w:rsid w:val="001C7F45"/>
    <w:rsid w:val="001D1886"/>
    <w:rsid w:val="001D2F2D"/>
    <w:rsid w:val="001D3024"/>
    <w:rsid w:val="001D7FE6"/>
    <w:rsid w:val="001E0070"/>
    <w:rsid w:val="001E0CB8"/>
    <w:rsid w:val="001E1507"/>
    <w:rsid w:val="001E29A8"/>
    <w:rsid w:val="001E3AAF"/>
    <w:rsid w:val="001E40C9"/>
    <w:rsid w:val="001E5560"/>
    <w:rsid w:val="001E6183"/>
    <w:rsid w:val="001E64D3"/>
    <w:rsid w:val="001E67DE"/>
    <w:rsid w:val="001E73ED"/>
    <w:rsid w:val="001E7881"/>
    <w:rsid w:val="001E7BD6"/>
    <w:rsid w:val="001E7DCF"/>
    <w:rsid w:val="001F055A"/>
    <w:rsid w:val="001F1A46"/>
    <w:rsid w:val="001F203E"/>
    <w:rsid w:val="001F3246"/>
    <w:rsid w:val="001F3BDB"/>
    <w:rsid w:val="001F474D"/>
    <w:rsid w:val="001F492E"/>
    <w:rsid w:val="001F55FB"/>
    <w:rsid w:val="001F6734"/>
    <w:rsid w:val="001F75CB"/>
    <w:rsid w:val="001F7B76"/>
    <w:rsid w:val="00200194"/>
    <w:rsid w:val="00203AC7"/>
    <w:rsid w:val="00203E08"/>
    <w:rsid w:val="002060BE"/>
    <w:rsid w:val="00206D16"/>
    <w:rsid w:val="0020724A"/>
    <w:rsid w:val="002077BF"/>
    <w:rsid w:val="00207CAC"/>
    <w:rsid w:val="00210B65"/>
    <w:rsid w:val="002113F9"/>
    <w:rsid w:val="00211EAA"/>
    <w:rsid w:val="0021262B"/>
    <w:rsid w:val="0021285F"/>
    <w:rsid w:val="00213176"/>
    <w:rsid w:val="002133E6"/>
    <w:rsid w:val="0021398C"/>
    <w:rsid w:val="002148E8"/>
    <w:rsid w:val="00214BB2"/>
    <w:rsid w:val="00215B56"/>
    <w:rsid w:val="002177AA"/>
    <w:rsid w:val="00221054"/>
    <w:rsid w:val="00222173"/>
    <w:rsid w:val="002225CC"/>
    <w:rsid w:val="002241FF"/>
    <w:rsid w:val="0022435D"/>
    <w:rsid w:val="002248F8"/>
    <w:rsid w:val="002264CF"/>
    <w:rsid w:val="00226FC6"/>
    <w:rsid w:val="002307C8"/>
    <w:rsid w:val="00230838"/>
    <w:rsid w:val="0023117D"/>
    <w:rsid w:val="00231494"/>
    <w:rsid w:val="00231514"/>
    <w:rsid w:val="00231D3E"/>
    <w:rsid w:val="00233280"/>
    <w:rsid w:val="00233DA9"/>
    <w:rsid w:val="0023410C"/>
    <w:rsid w:val="002346FB"/>
    <w:rsid w:val="00234B4D"/>
    <w:rsid w:val="00235207"/>
    <w:rsid w:val="002368C6"/>
    <w:rsid w:val="00237BA9"/>
    <w:rsid w:val="0024075F"/>
    <w:rsid w:val="00240AE4"/>
    <w:rsid w:val="00241206"/>
    <w:rsid w:val="00241D0B"/>
    <w:rsid w:val="00242CF4"/>
    <w:rsid w:val="00243BA1"/>
    <w:rsid w:val="00243EF9"/>
    <w:rsid w:val="00244FF2"/>
    <w:rsid w:val="00246C77"/>
    <w:rsid w:val="00247598"/>
    <w:rsid w:val="002508F2"/>
    <w:rsid w:val="002510BF"/>
    <w:rsid w:val="002510D2"/>
    <w:rsid w:val="002510ED"/>
    <w:rsid w:val="00252B7A"/>
    <w:rsid w:val="00253295"/>
    <w:rsid w:val="00253F36"/>
    <w:rsid w:val="002558F9"/>
    <w:rsid w:val="002561A1"/>
    <w:rsid w:val="00256D32"/>
    <w:rsid w:val="00257318"/>
    <w:rsid w:val="0026144F"/>
    <w:rsid w:val="0026368B"/>
    <w:rsid w:val="002668FE"/>
    <w:rsid w:val="00267BA9"/>
    <w:rsid w:val="00270F35"/>
    <w:rsid w:val="002735B3"/>
    <w:rsid w:val="00273B5E"/>
    <w:rsid w:val="00274460"/>
    <w:rsid w:val="0027454B"/>
    <w:rsid w:val="00277F83"/>
    <w:rsid w:val="002814CF"/>
    <w:rsid w:val="00281BE7"/>
    <w:rsid w:val="00283127"/>
    <w:rsid w:val="00285E5B"/>
    <w:rsid w:val="002878F6"/>
    <w:rsid w:val="00290353"/>
    <w:rsid w:val="0029269B"/>
    <w:rsid w:val="00292CFA"/>
    <w:rsid w:val="00293843"/>
    <w:rsid w:val="00294507"/>
    <w:rsid w:val="00294AC1"/>
    <w:rsid w:val="002951E3"/>
    <w:rsid w:val="002952F6"/>
    <w:rsid w:val="00295CD5"/>
    <w:rsid w:val="00296B9B"/>
    <w:rsid w:val="00296F89"/>
    <w:rsid w:val="0029786F"/>
    <w:rsid w:val="002A08D5"/>
    <w:rsid w:val="002A08F8"/>
    <w:rsid w:val="002A1B71"/>
    <w:rsid w:val="002A27E6"/>
    <w:rsid w:val="002A4332"/>
    <w:rsid w:val="002A4764"/>
    <w:rsid w:val="002A4D14"/>
    <w:rsid w:val="002A4E15"/>
    <w:rsid w:val="002A4F8A"/>
    <w:rsid w:val="002A6510"/>
    <w:rsid w:val="002A6A5C"/>
    <w:rsid w:val="002A79B6"/>
    <w:rsid w:val="002B0065"/>
    <w:rsid w:val="002B0329"/>
    <w:rsid w:val="002B082E"/>
    <w:rsid w:val="002B1DCE"/>
    <w:rsid w:val="002B1F3E"/>
    <w:rsid w:val="002B4F04"/>
    <w:rsid w:val="002C1EF2"/>
    <w:rsid w:val="002C3480"/>
    <w:rsid w:val="002C369C"/>
    <w:rsid w:val="002C43F2"/>
    <w:rsid w:val="002C6FB4"/>
    <w:rsid w:val="002C77C7"/>
    <w:rsid w:val="002D10C3"/>
    <w:rsid w:val="002D10D4"/>
    <w:rsid w:val="002D262B"/>
    <w:rsid w:val="002D2C66"/>
    <w:rsid w:val="002D2F64"/>
    <w:rsid w:val="002D3B1A"/>
    <w:rsid w:val="002D480C"/>
    <w:rsid w:val="002D555D"/>
    <w:rsid w:val="002D588F"/>
    <w:rsid w:val="002D7167"/>
    <w:rsid w:val="002E07DC"/>
    <w:rsid w:val="002E0E5B"/>
    <w:rsid w:val="002E1354"/>
    <w:rsid w:val="002E2918"/>
    <w:rsid w:val="002E4356"/>
    <w:rsid w:val="002E45B3"/>
    <w:rsid w:val="002E5B16"/>
    <w:rsid w:val="002E6EE6"/>
    <w:rsid w:val="002E6F7F"/>
    <w:rsid w:val="002E7AEA"/>
    <w:rsid w:val="002F1CF8"/>
    <w:rsid w:val="002F1E95"/>
    <w:rsid w:val="002F46A5"/>
    <w:rsid w:val="002F54E1"/>
    <w:rsid w:val="002F5A77"/>
    <w:rsid w:val="002F62F9"/>
    <w:rsid w:val="002F6812"/>
    <w:rsid w:val="002F7495"/>
    <w:rsid w:val="00301B3A"/>
    <w:rsid w:val="00301C9F"/>
    <w:rsid w:val="00301D54"/>
    <w:rsid w:val="00302A0C"/>
    <w:rsid w:val="00302C43"/>
    <w:rsid w:val="003036CA"/>
    <w:rsid w:val="003069B8"/>
    <w:rsid w:val="00310F34"/>
    <w:rsid w:val="003120D2"/>
    <w:rsid w:val="003143CD"/>
    <w:rsid w:val="00315137"/>
    <w:rsid w:val="00315515"/>
    <w:rsid w:val="00315937"/>
    <w:rsid w:val="003175DF"/>
    <w:rsid w:val="003179B5"/>
    <w:rsid w:val="00320B3B"/>
    <w:rsid w:val="00321097"/>
    <w:rsid w:val="0032148B"/>
    <w:rsid w:val="00321759"/>
    <w:rsid w:val="00322AE1"/>
    <w:rsid w:val="00322EB9"/>
    <w:rsid w:val="0032337C"/>
    <w:rsid w:val="00326036"/>
    <w:rsid w:val="00326714"/>
    <w:rsid w:val="003309CD"/>
    <w:rsid w:val="0033369E"/>
    <w:rsid w:val="00333950"/>
    <w:rsid w:val="003339D9"/>
    <w:rsid w:val="00333D25"/>
    <w:rsid w:val="0033506B"/>
    <w:rsid w:val="003354A1"/>
    <w:rsid w:val="00337193"/>
    <w:rsid w:val="003374DD"/>
    <w:rsid w:val="00337DC9"/>
    <w:rsid w:val="00340C3A"/>
    <w:rsid w:val="003447CB"/>
    <w:rsid w:val="003452A0"/>
    <w:rsid w:val="00346389"/>
    <w:rsid w:val="003467CE"/>
    <w:rsid w:val="00347807"/>
    <w:rsid w:val="00347B48"/>
    <w:rsid w:val="0035044B"/>
    <w:rsid w:val="00350925"/>
    <w:rsid w:val="0035120B"/>
    <w:rsid w:val="003548B2"/>
    <w:rsid w:val="00354AA7"/>
    <w:rsid w:val="00354D68"/>
    <w:rsid w:val="0035633C"/>
    <w:rsid w:val="0035700B"/>
    <w:rsid w:val="003576B7"/>
    <w:rsid w:val="00357809"/>
    <w:rsid w:val="00362864"/>
    <w:rsid w:val="00363820"/>
    <w:rsid w:val="00363D76"/>
    <w:rsid w:val="00364207"/>
    <w:rsid w:val="003654DF"/>
    <w:rsid w:val="003668FC"/>
    <w:rsid w:val="003674A3"/>
    <w:rsid w:val="0036765D"/>
    <w:rsid w:val="0037464E"/>
    <w:rsid w:val="0037474D"/>
    <w:rsid w:val="00375FBC"/>
    <w:rsid w:val="00376697"/>
    <w:rsid w:val="00376FDF"/>
    <w:rsid w:val="00377475"/>
    <w:rsid w:val="003778E2"/>
    <w:rsid w:val="00377E50"/>
    <w:rsid w:val="00380D03"/>
    <w:rsid w:val="00381991"/>
    <w:rsid w:val="00381C72"/>
    <w:rsid w:val="003822BA"/>
    <w:rsid w:val="00382F35"/>
    <w:rsid w:val="003830D1"/>
    <w:rsid w:val="00384643"/>
    <w:rsid w:val="003857AB"/>
    <w:rsid w:val="00386068"/>
    <w:rsid w:val="00387D1A"/>
    <w:rsid w:val="00387DDD"/>
    <w:rsid w:val="00390079"/>
    <w:rsid w:val="003920C0"/>
    <w:rsid w:val="0039310C"/>
    <w:rsid w:val="00393234"/>
    <w:rsid w:val="0039389F"/>
    <w:rsid w:val="0039478C"/>
    <w:rsid w:val="0039506E"/>
    <w:rsid w:val="003957FB"/>
    <w:rsid w:val="00395EB4"/>
    <w:rsid w:val="0039691D"/>
    <w:rsid w:val="00397177"/>
    <w:rsid w:val="003974E9"/>
    <w:rsid w:val="003978B3"/>
    <w:rsid w:val="003A2209"/>
    <w:rsid w:val="003A3FCF"/>
    <w:rsid w:val="003A5CEA"/>
    <w:rsid w:val="003A78A8"/>
    <w:rsid w:val="003B14EF"/>
    <w:rsid w:val="003B19D8"/>
    <w:rsid w:val="003B2AB2"/>
    <w:rsid w:val="003B31FE"/>
    <w:rsid w:val="003B3E02"/>
    <w:rsid w:val="003B3E51"/>
    <w:rsid w:val="003B408D"/>
    <w:rsid w:val="003B41B6"/>
    <w:rsid w:val="003B509A"/>
    <w:rsid w:val="003B5276"/>
    <w:rsid w:val="003B55AF"/>
    <w:rsid w:val="003B5F52"/>
    <w:rsid w:val="003B6B91"/>
    <w:rsid w:val="003C0CB2"/>
    <w:rsid w:val="003C14B5"/>
    <w:rsid w:val="003C35BF"/>
    <w:rsid w:val="003C3C5C"/>
    <w:rsid w:val="003C3CC2"/>
    <w:rsid w:val="003C5CE7"/>
    <w:rsid w:val="003C7B62"/>
    <w:rsid w:val="003C7EE4"/>
    <w:rsid w:val="003D0472"/>
    <w:rsid w:val="003D075B"/>
    <w:rsid w:val="003D0AAD"/>
    <w:rsid w:val="003D0BB3"/>
    <w:rsid w:val="003D2219"/>
    <w:rsid w:val="003D2485"/>
    <w:rsid w:val="003D2E94"/>
    <w:rsid w:val="003D398A"/>
    <w:rsid w:val="003D5F5D"/>
    <w:rsid w:val="003D6329"/>
    <w:rsid w:val="003D6BF7"/>
    <w:rsid w:val="003D784A"/>
    <w:rsid w:val="003D7D37"/>
    <w:rsid w:val="003E0B46"/>
    <w:rsid w:val="003E0D24"/>
    <w:rsid w:val="003E21DB"/>
    <w:rsid w:val="003E2C39"/>
    <w:rsid w:val="003E42E4"/>
    <w:rsid w:val="003E5DB1"/>
    <w:rsid w:val="003E76F8"/>
    <w:rsid w:val="003E7FDC"/>
    <w:rsid w:val="003F0554"/>
    <w:rsid w:val="003F07C8"/>
    <w:rsid w:val="003F5B0C"/>
    <w:rsid w:val="003F5D75"/>
    <w:rsid w:val="003F5F43"/>
    <w:rsid w:val="00400DD1"/>
    <w:rsid w:val="00400E42"/>
    <w:rsid w:val="00402011"/>
    <w:rsid w:val="00402CCB"/>
    <w:rsid w:val="004032D9"/>
    <w:rsid w:val="00403BFA"/>
    <w:rsid w:val="00404FAA"/>
    <w:rsid w:val="00405C72"/>
    <w:rsid w:val="004065E3"/>
    <w:rsid w:val="00406F67"/>
    <w:rsid w:val="00407C08"/>
    <w:rsid w:val="00407D21"/>
    <w:rsid w:val="00407DB2"/>
    <w:rsid w:val="00410633"/>
    <w:rsid w:val="00413527"/>
    <w:rsid w:val="0041378E"/>
    <w:rsid w:val="00413D4E"/>
    <w:rsid w:val="00413DB3"/>
    <w:rsid w:val="004148FA"/>
    <w:rsid w:val="0041566C"/>
    <w:rsid w:val="00420071"/>
    <w:rsid w:val="004200AF"/>
    <w:rsid w:val="00421BBB"/>
    <w:rsid w:val="0042205A"/>
    <w:rsid w:val="00422309"/>
    <w:rsid w:val="0042375C"/>
    <w:rsid w:val="00424AB0"/>
    <w:rsid w:val="00424F55"/>
    <w:rsid w:val="00425375"/>
    <w:rsid w:val="00426770"/>
    <w:rsid w:val="00426B37"/>
    <w:rsid w:val="00426E09"/>
    <w:rsid w:val="00430A73"/>
    <w:rsid w:val="00430CB0"/>
    <w:rsid w:val="004311A2"/>
    <w:rsid w:val="0043122E"/>
    <w:rsid w:val="004312B3"/>
    <w:rsid w:val="00432082"/>
    <w:rsid w:val="004323A2"/>
    <w:rsid w:val="004328B0"/>
    <w:rsid w:val="00434509"/>
    <w:rsid w:val="0043499F"/>
    <w:rsid w:val="00434DCB"/>
    <w:rsid w:val="00435012"/>
    <w:rsid w:val="004352B8"/>
    <w:rsid w:val="00435643"/>
    <w:rsid w:val="00437A43"/>
    <w:rsid w:val="00440623"/>
    <w:rsid w:val="0044105A"/>
    <w:rsid w:val="00442978"/>
    <w:rsid w:val="00442A1F"/>
    <w:rsid w:val="00442D27"/>
    <w:rsid w:val="00443CA8"/>
    <w:rsid w:val="00446200"/>
    <w:rsid w:val="004469AD"/>
    <w:rsid w:val="00446D9F"/>
    <w:rsid w:val="0044781D"/>
    <w:rsid w:val="00447BA0"/>
    <w:rsid w:val="00447E61"/>
    <w:rsid w:val="00451F73"/>
    <w:rsid w:val="00452116"/>
    <w:rsid w:val="00452144"/>
    <w:rsid w:val="00455E18"/>
    <w:rsid w:val="0045677C"/>
    <w:rsid w:val="00456A21"/>
    <w:rsid w:val="00456EFB"/>
    <w:rsid w:val="004578A5"/>
    <w:rsid w:val="00460F5F"/>
    <w:rsid w:val="004623B4"/>
    <w:rsid w:val="004637A8"/>
    <w:rsid w:val="004645EC"/>
    <w:rsid w:val="00464981"/>
    <w:rsid w:val="00465182"/>
    <w:rsid w:val="00465802"/>
    <w:rsid w:val="00465984"/>
    <w:rsid w:val="00470AB1"/>
    <w:rsid w:val="00472038"/>
    <w:rsid w:val="00473B50"/>
    <w:rsid w:val="004743EA"/>
    <w:rsid w:val="0047481C"/>
    <w:rsid w:val="00474AD9"/>
    <w:rsid w:val="00475570"/>
    <w:rsid w:val="00476871"/>
    <w:rsid w:val="00477587"/>
    <w:rsid w:val="004810AC"/>
    <w:rsid w:val="00481E8C"/>
    <w:rsid w:val="00482B82"/>
    <w:rsid w:val="00482FEA"/>
    <w:rsid w:val="00483231"/>
    <w:rsid w:val="0048348B"/>
    <w:rsid w:val="0048491B"/>
    <w:rsid w:val="00485B65"/>
    <w:rsid w:val="00485F7B"/>
    <w:rsid w:val="004867B8"/>
    <w:rsid w:val="00487760"/>
    <w:rsid w:val="004914EC"/>
    <w:rsid w:val="004917F0"/>
    <w:rsid w:val="00491D67"/>
    <w:rsid w:val="00492322"/>
    <w:rsid w:val="00495081"/>
    <w:rsid w:val="004966C5"/>
    <w:rsid w:val="00497B16"/>
    <w:rsid w:val="004A05DF"/>
    <w:rsid w:val="004A0954"/>
    <w:rsid w:val="004A1400"/>
    <w:rsid w:val="004A18F2"/>
    <w:rsid w:val="004A37FA"/>
    <w:rsid w:val="004A5DBB"/>
    <w:rsid w:val="004A628C"/>
    <w:rsid w:val="004A7DA6"/>
    <w:rsid w:val="004B4B34"/>
    <w:rsid w:val="004B50CD"/>
    <w:rsid w:val="004B6432"/>
    <w:rsid w:val="004B6595"/>
    <w:rsid w:val="004B76E4"/>
    <w:rsid w:val="004B7878"/>
    <w:rsid w:val="004C1E8A"/>
    <w:rsid w:val="004C62E4"/>
    <w:rsid w:val="004C67E5"/>
    <w:rsid w:val="004C6EBB"/>
    <w:rsid w:val="004C7602"/>
    <w:rsid w:val="004C7948"/>
    <w:rsid w:val="004D06FC"/>
    <w:rsid w:val="004D1F75"/>
    <w:rsid w:val="004D2754"/>
    <w:rsid w:val="004D305E"/>
    <w:rsid w:val="004D31EB"/>
    <w:rsid w:val="004D4C33"/>
    <w:rsid w:val="004D4EEF"/>
    <w:rsid w:val="004D5B27"/>
    <w:rsid w:val="004D5F3C"/>
    <w:rsid w:val="004D65B1"/>
    <w:rsid w:val="004D6DC4"/>
    <w:rsid w:val="004D7718"/>
    <w:rsid w:val="004E0341"/>
    <w:rsid w:val="004E0973"/>
    <w:rsid w:val="004E1A76"/>
    <w:rsid w:val="004E3575"/>
    <w:rsid w:val="004E3B19"/>
    <w:rsid w:val="004E4877"/>
    <w:rsid w:val="004E53B7"/>
    <w:rsid w:val="004E5521"/>
    <w:rsid w:val="004E5A7E"/>
    <w:rsid w:val="004E622C"/>
    <w:rsid w:val="004E7792"/>
    <w:rsid w:val="004F1DD6"/>
    <w:rsid w:val="004F2EEA"/>
    <w:rsid w:val="004F31FE"/>
    <w:rsid w:val="004F4241"/>
    <w:rsid w:val="004F4419"/>
    <w:rsid w:val="004F5283"/>
    <w:rsid w:val="004F580E"/>
    <w:rsid w:val="004F605B"/>
    <w:rsid w:val="00500905"/>
    <w:rsid w:val="0050207B"/>
    <w:rsid w:val="0050369B"/>
    <w:rsid w:val="00503FF7"/>
    <w:rsid w:val="00505E0D"/>
    <w:rsid w:val="00505EA1"/>
    <w:rsid w:val="00506C80"/>
    <w:rsid w:val="005075C2"/>
    <w:rsid w:val="00510886"/>
    <w:rsid w:val="00512552"/>
    <w:rsid w:val="00512B69"/>
    <w:rsid w:val="00512CA2"/>
    <w:rsid w:val="00512DDF"/>
    <w:rsid w:val="00514C63"/>
    <w:rsid w:val="00516804"/>
    <w:rsid w:val="0051684B"/>
    <w:rsid w:val="00516B93"/>
    <w:rsid w:val="00517D53"/>
    <w:rsid w:val="0052022F"/>
    <w:rsid w:val="0052102E"/>
    <w:rsid w:val="00521D58"/>
    <w:rsid w:val="00522375"/>
    <w:rsid w:val="005247CA"/>
    <w:rsid w:val="00524D26"/>
    <w:rsid w:val="00524FF8"/>
    <w:rsid w:val="00525554"/>
    <w:rsid w:val="0052612B"/>
    <w:rsid w:val="00526394"/>
    <w:rsid w:val="0052652E"/>
    <w:rsid w:val="00526C2D"/>
    <w:rsid w:val="005279E5"/>
    <w:rsid w:val="00527A82"/>
    <w:rsid w:val="005317AA"/>
    <w:rsid w:val="00532805"/>
    <w:rsid w:val="005334F4"/>
    <w:rsid w:val="005376AE"/>
    <w:rsid w:val="005376C7"/>
    <w:rsid w:val="00537CF6"/>
    <w:rsid w:val="00540547"/>
    <w:rsid w:val="00541097"/>
    <w:rsid w:val="00542E7B"/>
    <w:rsid w:val="00543773"/>
    <w:rsid w:val="00543E51"/>
    <w:rsid w:val="00544A84"/>
    <w:rsid w:val="00545610"/>
    <w:rsid w:val="005466C0"/>
    <w:rsid w:val="00546AF7"/>
    <w:rsid w:val="0054772D"/>
    <w:rsid w:val="00547B7D"/>
    <w:rsid w:val="0055024B"/>
    <w:rsid w:val="00550386"/>
    <w:rsid w:val="00550E63"/>
    <w:rsid w:val="00551052"/>
    <w:rsid w:val="00551202"/>
    <w:rsid w:val="005514A6"/>
    <w:rsid w:val="005516A0"/>
    <w:rsid w:val="005516E9"/>
    <w:rsid w:val="00551950"/>
    <w:rsid w:val="00552296"/>
    <w:rsid w:val="00552622"/>
    <w:rsid w:val="00553642"/>
    <w:rsid w:val="00553DD7"/>
    <w:rsid w:val="00555077"/>
    <w:rsid w:val="0055522C"/>
    <w:rsid w:val="0055540C"/>
    <w:rsid w:val="00555832"/>
    <w:rsid w:val="005565B8"/>
    <w:rsid w:val="005568F2"/>
    <w:rsid w:val="0056050D"/>
    <w:rsid w:val="00560C0E"/>
    <w:rsid w:val="00560EF2"/>
    <w:rsid w:val="00561361"/>
    <w:rsid w:val="00561BEB"/>
    <w:rsid w:val="00561D6B"/>
    <w:rsid w:val="00562203"/>
    <w:rsid w:val="005622DC"/>
    <w:rsid w:val="005637D4"/>
    <w:rsid w:val="00563933"/>
    <w:rsid w:val="00563C7F"/>
    <w:rsid w:val="00565608"/>
    <w:rsid w:val="00565A52"/>
    <w:rsid w:val="005667D3"/>
    <w:rsid w:val="005676B1"/>
    <w:rsid w:val="00567898"/>
    <w:rsid w:val="0057038C"/>
    <w:rsid w:val="00571294"/>
    <w:rsid w:val="005714CD"/>
    <w:rsid w:val="005719A8"/>
    <w:rsid w:val="00572789"/>
    <w:rsid w:val="005730EA"/>
    <w:rsid w:val="005735F8"/>
    <w:rsid w:val="0057423A"/>
    <w:rsid w:val="0057505E"/>
    <w:rsid w:val="00576212"/>
    <w:rsid w:val="00580095"/>
    <w:rsid w:val="00581916"/>
    <w:rsid w:val="00581AC9"/>
    <w:rsid w:val="00581E34"/>
    <w:rsid w:val="00583563"/>
    <w:rsid w:val="00583BE0"/>
    <w:rsid w:val="00584DB5"/>
    <w:rsid w:val="005852C1"/>
    <w:rsid w:val="00586470"/>
    <w:rsid w:val="0058702B"/>
    <w:rsid w:val="00590033"/>
    <w:rsid w:val="00591174"/>
    <w:rsid w:val="00592441"/>
    <w:rsid w:val="005925B2"/>
    <w:rsid w:val="00592862"/>
    <w:rsid w:val="005942E3"/>
    <w:rsid w:val="00594891"/>
    <w:rsid w:val="005967DC"/>
    <w:rsid w:val="005A1B0F"/>
    <w:rsid w:val="005A2C49"/>
    <w:rsid w:val="005A3F5D"/>
    <w:rsid w:val="005A5F3A"/>
    <w:rsid w:val="005A613A"/>
    <w:rsid w:val="005A690D"/>
    <w:rsid w:val="005B2153"/>
    <w:rsid w:val="005B281B"/>
    <w:rsid w:val="005B2A9B"/>
    <w:rsid w:val="005B38EB"/>
    <w:rsid w:val="005B3A79"/>
    <w:rsid w:val="005B4A0B"/>
    <w:rsid w:val="005B56C6"/>
    <w:rsid w:val="005B5887"/>
    <w:rsid w:val="005B5F6F"/>
    <w:rsid w:val="005B6A7D"/>
    <w:rsid w:val="005B6CF7"/>
    <w:rsid w:val="005B70D2"/>
    <w:rsid w:val="005B77F9"/>
    <w:rsid w:val="005B7DBD"/>
    <w:rsid w:val="005C0100"/>
    <w:rsid w:val="005C217E"/>
    <w:rsid w:val="005C2C8F"/>
    <w:rsid w:val="005C3511"/>
    <w:rsid w:val="005C4603"/>
    <w:rsid w:val="005C557F"/>
    <w:rsid w:val="005C5CF9"/>
    <w:rsid w:val="005C6DEE"/>
    <w:rsid w:val="005C7F4B"/>
    <w:rsid w:val="005D124B"/>
    <w:rsid w:val="005D19E1"/>
    <w:rsid w:val="005D36EB"/>
    <w:rsid w:val="005D3AD4"/>
    <w:rsid w:val="005D3BC6"/>
    <w:rsid w:val="005D4685"/>
    <w:rsid w:val="005D561B"/>
    <w:rsid w:val="005D5974"/>
    <w:rsid w:val="005D6057"/>
    <w:rsid w:val="005D7189"/>
    <w:rsid w:val="005D780B"/>
    <w:rsid w:val="005D7B8B"/>
    <w:rsid w:val="005E0443"/>
    <w:rsid w:val="005E0B6E"/>
    <w:rsid w:val="005E23F7"/>
    <w:rsid w:val="005E24CB"/>
    <w:rsid w:val="005E3478"/>
    <w:rsid w:val="005E3C67"/>
    <w:rsid w:val="005E44C1"/>
    <w:rsid w:val="005E4B12"/>
    <w:rsid w:val="005E7BB3"/>
    <w:rsid w:val="005E7F13"/>
    <w:rsid w:val="005F16F4"/>
    <w:rsid w:val="005F219F"/>
    <w:rsid w:val="005F3603"/>
    <w:rsid w:val="005F367F"/>
    <w:rsid w:val="005F57BE"/>
    <w:rsid w:val="005F5B62"/>
    <w:rsid w:val="005F5C2A"/>
    <w:rsid w:val="005F63AF"/>
    <w:rsid w:val="005F6754"/>
    <w:rsid w:val="005F681D"/>
    <w:rsid w:val="005F7A8D"/>
    <w:rsid w:val="006000AF"/>
    <w:rsid w:val="006007D8"/>
    <w:rsid w:val="00600AD5"/>
    <w:rsid w:val="006013F4"/>
    <w:rsid w:val="006020A5"/>
    <w:rsid w:val="00602565"/>
    <w:rsid w:val="00602DD7"/>
    <w:rsid w:val="006031D6"/>
    <w:rsid w:val="00604033"/>
    <w:rsid w:val="00604AC4"/>
    <w:rsid w:val="00604BDF"/>
    <w:rsid w:val="00605D2D"/>
    <w:rsid w:val="006067AC"/>
    <w:rsid w:val="00607D59"/>
    <w:rsid w:val="00610BF4"/>
    <w:rsid w:val="00610D5A"/>
    <w:rsid w:val="0061127F"/>
    <w:rsid w:val="0061185E"/>
    <w:rsid w:val="00611E3F"/>
    <w:rsid w:val="00612720"/>
    <w:rsid w:val="00615068"/>
    <w:rsid w:val="0061656F"/>
    <w:rsid w:val="0061683A"/>
    <w:rsid w:val="0062031D"/>
    <w:rsid w:val="00621DB4"/>
    <w:rsid w:val="0062392B"/>
    <w:rsid w:val="0063003D"/>
    <w:rsid w:val="00632759"/>
    <w:rsid w:val="00632EEC"/>
    <w:rsid w:val="006362CB"/>
    <w:rsid w:val="00636E7C"/>
    <w:rsid w:val="00637950"/>
    <w:rsid w:val="00641690"/>
    <w:rsid w:val="00641B23"/>
    <w:rsid w:val="00641D5C"/>
    <w:rsid w:val="006426FD"/>
    <w:rsid w:val="006429EB"/>
    <w:rsid w:val="006435C2"/>
    <w:rsid w:val="0064362A"/>
    <w:rsid w:val="006438BF"/>
    <w:rsid w:val="00645798"/>
    <w:rsid w:val="0064662F"/>
    <w:rsid w:val="00646D07"/>
    <w:rsid w:val="00647300"/>
    <w:rsid w:val="0064753C"/>
    <w:rsid w:val="00651F41"/>
    <w:rsid w:val="00652381"/>
    <w:rsid w:val="006531EE"/>
    <w:rsid w:val="006532E8"/>
    <w:rsid w:val="006541EB"/>
    <w:rsid w:val="0065774B"/>
    <w:rsid w:val="00661F17"/>
    <w:rsid w:val="0066217E"/>
    <w:rsid w:val="00662C5E"/>
    <w:rsid w:val="00667472"/>
    <w:rsid w:val="006702A5"/>
    <w:rsid w:val="006704B9"/>
    <w:rsid w:val="006728FE"/>
    <w:rsid w:val="00672DA0"/>
    <w:rsid w:val="00672DCD"/>
    <w:rsid w:val="00673EAF"/>
    <w:rsid w:val="00675D4B"/>
    <w:rsid w:val="00676592"/>
    <w:rsid w:val="006771AE"/>
    <w:rsid w:val="006771DC"/>
    <w:rsid w:val="006777E2"/>
    <w:rsid w:val="00677FA1"/>
    <w:rsid w:val="00680116"/>
    <w:rsid w:val="00680230"/>
    <w:rsid w:val="006805AC"/>
    <w:rsid w:val="006805C1"/>
    <w:rsid w:val="00680BA2"/>
    <w:rsid w:val="00680F17"/>
    <w:rsid w:val="00681964"/>
    <w:rsid w:val="0068293C"/>
    <w:rsid w:val="00682A0E"/>
    <w:rsid w:val="00683803"/>
    <w:rsid w:val="00683EA5"/>
    <w:rsid w:val="00686EC6"/>
    <w:rsid w:val="00687360"/>
    <w:rsid w:val="0069009C"/>
    <w:rsid w:val="0069172D"/>
    <w:rsid w:val="00692388"/>
    <w:rsid w:val="00692ABA"/>
    <w:rsid w:val="00692D93"/>
    <w:rsid w:val="006968D9"/>
    <w:rsid w:val="00696D68"/>
    <w:rsid w:val="00697474"/>
    <w:rsid w:val="006A0190"/>
    <w:rsid w:val="006A0C16"/>
    <w:rsid w:val="006A1885"/>
    <w:rsid w:val="006A20F3"/>
    <w:rsid w:val="006A2DDE"/>
    <w:rsid w:val="006A3E82"/>
    <w:rsid w:val="006A427B"/>
    <w:rsid w:val="006A49EC"/>
    <w:rsid w:val="006A5529"/>
    <w:rsid w:val="006A6096"/>
    <w:rsid w:val="006B0575"/>
    <w:rsid w:val="006B0845"/>
    <w:rsid w:val="006B0AC6"/>
    <w:rsid w:val="006B0E4B"/>
    <w:rsid w:val="006B3F65"/>
    <w:rsid w:val="006B4EEE"/>
    <w:rsid w:val="006B647F"/>
    <w:rsid w:val="006B7D47"/>
    <w:rsid w:val="006C0290"/>
    <w:rsid w:val="006C034E"/>
    <w:rsid w:val="006C0399"/>
    <w:rsid w:val="006C157F"/>
    <w:rsid w:val="006C2786"/>
    <w:rsid w:val="006C3A27"/>
    <w:rsid w:val="006C41EE"/>
    <w:rsid w:val="006C4254"/>
    <w:rsid w:val="006C4811"/>
    <w:rsid w:val="006C4D0D"/>
    <w:rsid w:val="006C5DB8"/>
    <w:rsid w:val="006D1328"/>
    <w:rsid w:val="006D2C73"/>
    <w:rsid w:val="006D3D3B"/>
    <w:rsid w:val="006D42E1"/>
    <w:rsid w:val="006D5533"/>
    <w:rsid w:val="006D696D"/>
    <w:rsid w:val="006D6D90"/>
    <w:rsid w:val="006D6F2F"/>
    <w:rsid w:val="006D7419"/>
    <w:rsid w:val="006D7A94"/>
    <w:rsid w:val="006D7E52"/>
    <w:rsid w:val="006D7F66"/>
    <w:rsid w:val="006E06E3"/>
    <w:rsid w:val="006E0EF1"/>
    <w:rsid w:val="006E13EE"/>
    <w:rsid w:val="006E2930"/>
    <w:rsid w:val="006E2DE6"/>
    <w:rsid w:val="006E4CC3"/>
    <w:rsid w:val="006E657B"/>
    <w:rsid w:val="006E6ACC"/>
    <w:rsid w:val="006F2C93"/>
    <w:rsid w:val="006F33D2"/>
    <w:rsid w:val="006F6BE4"/>
    <w:rsid w:val="006F79D5"/>
    <w:rsid w:val="00700BF4"/>
    <w:rsid w:val="00701947"/>
    <w:rsid w:val="00702866"/>
    <w:rsid w:val="00702D83"/>
    <w:rsid w:val="0070315C"/>
    <w:rsid w:val="00703DAB"/>
    <w:rsid w:val="00704D45"/>
    <w:rsid w:val="00705E93"/>
    <w:rsid w:val="00706B9F"/>
    <w:rsid w:val="007072E0"/>
    <w:rsid w:val="007108B3"/>
    <w:rsid w:val="00710FF7"/>
    <w:rsid w:val="00713304"/>
    <w:rsid w:val="0071345B"/>
    <w:rsid w:val="00713536"/>
    <w:rsid w:val="007163BC"/>
    <w:rsid w:val="007170CC"/>
    <w:rsid w:val="00720851"/>
    <w:rsid w:val="00720973"/>
    <w:rsid w:val="00720B54"/>
    <w:rsid w:val="00722264"/>
    <w:rsid w:val="00722786"/>
    <w:rsid w:val="00725409"/>
    <w:rsid w:val="00725EA1"/>
    <w:rsid w:val="00730729"/>
    <w:rsid w:val="00730CFB"/>
    <w:rsid w:val="007325CC"/>
    <w:rsid w:val="00732BF0"/>
    <w:rsid w:val="007336CE"/>
    <w:rsid w:val="00733BD3"/>
    <w:rsid w:val="00735090"/>
    <w:rsid w:val="007354AF"/>
    <w:rsid w:val="0073609F"/>
    <w:rsid w:val="00737A1F"/>
    <w:rsid w:val="00737D8D"/>
    <w:rsid w:val="00740513"/>
    <w:rsid w:val="0074330C"/>
    <w:rsid w:val="007451BB"/>
    <w:rsid w:val="007451D2"/>
    <w:rsid w:val="00747409"/>
    <w:rsid w:val="00747B32"/>
    <w:rsid w:val="00750E52"/>
    <w:rsid w:val="007540F4"/>
    <w:rsid w:val="00756399"/>
    <w:rsid w:val="00756E5C"/>
    <w:rsid w:val="00760035"/>
    <w:rsid w:val="00760E92"/>
    <w:rsid w:val="0076251A"/>
    <w:rsid w:val="00763C89"/>
    <w:rsid w:val="007651F3"/>
    <w:rsid w:val="00766652"/>
    <w:rsid w:val="0076705E"/>
    <w:rsid w:val="007673DE"/>
    <w:rsid w:val="00767A31"/>
    <w:rsid w:val="00767F22"/>
    <w:rsid w:val="0077189A"/>
    <w:rsid w:val="00771BCA"/>
    <w:rsid w:val="00771E17"/>
    <w:rsid w:val="007723B4"/>
    <w:rsid w:val="00772F4A"/>
    <w:rsid w:val="00774634"/>
    <w:rsid w:val="00775FD4"/>
    <w:rsid w:val="00780163"/>
    <w:rsid w:val="00780269"/>
    <w:rsid w:val="0078208E"/>
    <w:rsid w:val="0078238E"/>
    <w:rsid w:val="00782921"/>
    <w:rsid w:val="0078463B"/>
    <w:rsid w:val="007853D1"/>
    <w:rsid w:val="0078568C"/>
    <w:rsid w:val="00786BC7"/>
    <w:rsid w:val="00786DF6"/>
    <w:rsid w:val="00786DFB"/>
    <w:rsid w:val="007870A7"/>
    <w:rsid w:val="00787A45"/>
    <w:rsid w:val="007906EC"/>
    <w:rsid w:val="00791A74"/>
    <w:rsid w:val="00792493"/>
    <w:rsid w:val="00792A02"/>
    <w:rsid w:val="00792A7A"/>
    <w:rsid w:val="00792EE4"/>
    <w:rsid w:val="00793402"/>
    <w:rsid w:val="00793DB3"/>
    <w:rsid w:val="007949D9"/>
    <w:rsid w:val="00794D80"/>
    <w:rsid w:val="00795B75"/>
    <w:rsid w:val="007978E0"/>
    <w:rsid w:val="007A017E"/>
    <w:rsid w:val="007A05B7"/>
    <w:rsid w:val="007A07EC"/>
    <w:rsid w:val="007A18DC"/>
    <w:rsid w:val="007A2435"/>
    <w:rsid w:val="007A2800"/>
    <w:rsid w:val="007A2C0A"/>
    <w:rsid w:val="007A2FB4"/>
    <w:rsid w:val="007A31C1"/>
    <w:rsid w:val="007A32E5"/>
    <w:rsid w:val="007A4350"/>
    <w:rsid w:val="007A439C"/>
    <w:rsid w:val="007A45D0"/>
    <w:rsid w:val="007A4B49"/>
    <w:rsid w:val="007A4EBF"/>
    <w:rsid w:val="007A5582"/>
    <w:rsid w:val="007B127D"/>
    <w:rsid w:val="007B20F5"/>
    <w:rsid w:val="007B32BE"/>
    <w:rsid w:val="007B4372"/>
    <w:rsid w:val="007B4A23"/>
    <w:rsid w:val="007B4A8D"/>
    <w:rsid w:val="007B5B17"/>
    <w:rsid w:val="007B5D44"/>
    <w:rsid w:val="007B5D80"/>
    <w:rsid w:val="007B659F"/>
    <w:rsid w:val="007C04A3"/>
    <w:rsid w:val="007C0734"/>
    <w:rsid w:val="007C0A9E"/>
    <w:rsid w:val="007C247A"/>
    <w:rsid w:val="007C2CF8"/>
    <w:rsid w:val="007C46B5"/>
    <w:rsid w:val="007C47DC"/>
    <w:rsid w:val="007C4D52"/>
    <w:rsid w:val="007C5033"/>
    <w:rsid w:val="007C515F"/>
    <w:rsid w:val="007C5C89"/>
    <w:rsid w:val="007C737D"/>
    <w:rsid w:val="007D05C8"/>
    <w:rsid w:val="007D0A46"/>
    <w:rsid w:val="007D3112"/>
    <w:rsid w:val="007D44A1"/>
    <w:rsid w:val="007D4F47"/>
    <w:rsid w:val="007D63EA"/>
    <w:rsid w:val="007D6455"/>
    <w:rsid w:val="007D658A"/>
    <w:rsid w:val="007E01EB"/>
    <w:rsid w:val="007E03DC"/>
    <w:rsid w:val="007E07AC"/>
    <w:rsid w:val="007E0C78"/>
    <w:rsid w:val="007E119B"/>
    <w:rsid w:val="007E1C59"/>
    <w:rsid w:val="007E4A9A"/>
    <w:rsid w:val="007E63FA"/>
    <w:rsid w:val="007F02CC"/>
    <w:rsid w:val="007F1F57"/>
    <w:rsid w:val="007F2205"/>
    <w:rsid w:val="007F33BD"/>
    <w:rsid w:val="007F394D"/>
    <w:rsid w:val="007F47FF"/>
    <w:rsid w:val="007F5218"/>
    <w:rsid w:val="007F5E73"/>
    <w:rsid w:val="007F6A8D"/>
    <w:rsid w:val="007F7F8C"/>
    <w:rsid w:val="00801E2E"/>
    <w:rsid w:val="00802B72"/>
    <w:rsid w:val="00802C37"/>
    <w:rsid w:val="00802F09"/>
    <w:rsid w:val="00804255"/>
    <w:rsid w:val="00804A75"/>
    <w:rsid w:val="00804B5D"/>
    <w:rsid w:val="00804DF5"/>
    <w:rsid w:val="008054F2"/>
    <w:rsid w:val="008117DF"/>
    <w:rsid w:val="00811CA7"/>
    <w:rsid w:val="00812A16"/>
    <w:rsid w:val="008154AC"/>
    <w:rsid w:val="00816887"/>
    <w:rsid w:val="008168C7"/>
    <w:rsid w:val="0081694F"/>
    <w:rsid w:val="00816970"/>
    <w:rsid w:val="008169DB"/>
    <w:rsid w:val="00817121"/>
    <w:rsid w:val="00817DF7"/>
    <w:rsid w:val="008209E1"/>
    <w:rsid w:val="0082370F"/>
    <w:rsid w:val="00823BFE"/>
    <w:rsid w:val="008248F4"/>
    <w:rsid w:val="00824D4A"/>
    <w:rsid w:val="00825DD4"/>
    <w:rsid w:val="008269EF"/>
    <w:rsid w:val="0082781C"/>
    <w:rsid w:val="0083019D"/>
    <w:rsid w:val="00830E53"/>
    <w:rsid w:val="00830E91"/>
    <w:rsid w:val="00831214"/>
    <w:rsid w:val="00832766"/>
    <w:rsid w:val="00832BD8"/>
    <w:rsid w:val="00832D3A"/>
    <w:rsid w:val="00832EB2"/>
    <w:rsid w:val="00833336"/>
    <w:rsid w:val="00833532"/>
    <w:rsid w:val="00833BEE"/>
    <w:rsid w:val="008360E1"/>
    <w:rsid w:val="00836191"/>
    <w:rsid w:val="00836637"/>
    <w:rsid w:val="008375A6"/>
    <w:rsid w:val="00840D2A"/>
    <w:rsid w:val="0084198A"/>
    <w:rsid w:val="0084214C"/>
    <w:rsid w:val="00842233"/>
    <w:rsid w:val="008437C2"/>
    <w:rsid w:val="00843FDE"/>
    <w:rsid w:val="008452CC"/>
    <w:rsid w:val="008466DE"/>
    <w:rsid w:val="0084697E"/>
    <w:rsid w:val="0085005F"/>
    <w:rsid w:val="00851189"/>
    <w:rsid w:val="0085302F"/>
    <w:rsid w:val="008534C3"/>
    <w:rsid w:val="0085471F"/>
    <w:rsid w:val="00854B64"/>
    <w:rsid w:val="00855DCB"/>
    <w:rsid w:val="0085642F"/>
    <w:rsid w:val="008609CD"/>
    <w:rsid w:val="0086146E"/>
    <w:rsid w:val="00866134"/>
    <w:rsid w:val="00866C64"/>
    <w:rsid w:val="00867ADF"/>
    <w:rsid w:val="008714BF"/>
    <w:rsid w:val="0087291C"/>
    <w:rsid w:val="00872D59"/>
    <w:rsid w:val="00873D6E"/>
    <w:rsid w:val="00874405"/>
    <w:rsid w:val="008748AA"/>
    <w:rsid w:val="0087683A"/>
    <w:rsid w:val="00877D6B"/>
    <w:rsid w:val="00880967"/>
    <w:rsid w:val="00880D8D"/>
    <w:rsid w:val="00881163"/>
    <w:rsid w:val="0088126C"/>
    <w:rsid w:val="008813DB"/>
    <w:rsid w:val="008818E1"/>
    <w:rsid w:val="00881BA5"/>
    <w:rsid w:val="00882AEA"/>
    <w:rsid w:val="00883533"/>
    <w:rsid w:val="00883887"/>
    <w:rsid w:val="008839F7"/>
    <w:rsid w:val="008860EF"/>
    <w:rsid w:val="008863C0"/>
    <w:rsid w:val="00886FD6"/>
    <w:rsid w:val="00887F36"/>
    <w:rsid w:val="00890B85"/>
    <w:rsid w:val="008916A1"/>
    <w:rsid w:val="00892B4A"/>
    <w:rsid w:val="00893879"/>
    <w:rsid w:val="00894A35"/>
    <w:rsid w:val="00895569"/>
    <w:rsid w:val="00895A13"/>
    <w:rsid w:val="008964BC"/>
    <w:rsid w:val="008974EC"/>
    <w:rsid w:val="008979B1"/>
    <w:rsid w:val="008A0B4B"/>
    <w:rsid w:val="008A0C1C"/>
    <w:rsid w:val="008A1C3A"/>
    <w:rsid w:val="008A2049"/>
    <w:rsid w:val="008A277C"/>
    <w:rsid w:val="008A2C24"/>
    <w:rsid w:val="008A377E"/>
    <w:rsid w:val="008A4C69"/>
    <w:rsid w:val="008A581C"/>
    <w:rsid w:val="008A64D8"/>
    <w:rsid w:val="008A6BFA"/>
    <w:rsid w:val="008A6F35"/>
    <w:rsid w:val="008B2A7E"/>
    <w:rsid w:val="008B416A"/>
    <w:rsid w:val="008B4300"/>
    <w:rsid w:val="008C101D"/>
    <w:rsid w:val="008C2771"/>
    <w:rsid w:val="008C36D4"/>
    <w:rsid w:val="008C4013"/>
    <w:rsid w:val="008C402E"/>
    <w:rsid w:val="008C541A"/>
    <w:rsid w:val="008C5D6B"/>
    <w:rsid w:val="008C6C7C"/>
    <w:rsid w:val="008C76E1"/>
    <w:rsid w:val="008C7B20"/>
    <w:rsid w:val="008D0C2F"/>
    <w:rsid w:val="008D162B"/>
    <w:rsid w:val="008D2B8A"/>
    <w:rsid w:val="008D2CF7"/>
    <w:rsid w:val="008D33CE"/>
    <w:rsid w:val="008D483E"/>
    <w:rsid w:val="008D568F"/>
    <w:rsid w:val="008D5D89"/>
    <w:rsid w:val="008D66F9"/>
    <w:rsid w:val="008D697A"/>
    <w:rsid w:val="008D7214"/>
    <w:rsid w:val="008E063E"/>
    <w:rsid w:val="008E0D39"/>
    <w:rsid w:val="008E100A"/>
    <w:rsid w:val="008E12C4"/>
    <w:rsid w:val="008E2432"/>
    <w:rsid w:val="008E47DE"/>
    <w:rsid w:val="008E611B"/>
    <w:rsid w:val="008E647D"/>
    <w:rsid w:val="008E6BC7"/>
    <w:rsid w:val="008E7033"/>
    <w:rsid w:val="008E776F"/>
    <w:rsid w:val="008F003A"/>
    <w:rsid w:val="008F23C4"/>
    <w:rsid w:val="008F3988"/>
    <w:rsid w:val="008F405E"/>
    <w:rsid w:val="008F431D"/>
    <w:rsid w:val="008F5F79"/>
    <w:rsid w:val="008F60FF"/>
    <w:rsid w:val="008F6848"/>
    <w:rsid w:val="008F7FE9"/>
    <w:rsid w:val="00900446"/>
    <w:rsid w:val="00900CD7"/>
    <w:rsid w:val="009013DD"/>
    <w:rsid w:val="0090276F"/>
    <w:rsid w:val="00904C98"/>
    <w:rsid w:val="00904D60"/>
    <w:rsid w:val="00904ED7"/>
    <w:rsid w:val="00906B42"/>
    <w:rsid w:val="00906BFF"/>
    <w:rsid w:val="00910462"/>
    <w:rsid w:val="009127B6"/>
    <w:rsid w:val="00912A03"/>
    <w:rsid w:val="009142F2"/>
    <w:rsid w:val="00914B49"/>
    <w:rsid w:val="00915D90"/>
    <w:rsid w:val="00915DE3"/>
    <w:rsid w:val="009165DE"/>
    <w:rsid w:val="009202D9"/>
    <w:rsid w:val="00920493"/>
    <w:rsid w:val="00920A9C"/>
    <w:rsid w:val="00921EA7"/>
    <w:rsid w:val="009229D6"/>
    <w:rsid w:val="00924BED"/>
    <w:rsid w:val="00925184"/>
    <w:rsid w:val="00926216"/>
    <w:rsid w:val="00926710"/>
    <w:rsid w:val="00930D56"/>
    <w:rsid w:val="00932BF1"/>
    <w:rsid w:val="00932E72"/>
    <w:rsid w:val="00935B9B"/>
    <w:rsid w:val="00936AC5"/>
    <w:rsid w:val="00936F0D"/>
    <w:rsid w:val="00937DAD"/>
    <w:rsid w:val="00940D35"/>
    <w:rsid w:val="00941156"/>
    <w:rsid w:val="009448A8"/>
    <w:rsid w:val="009451FC"/>
    <w:rsid w:val="00945411"/>
    <w:rsid w:val="009458BF"/>
    <w:rsid w:val="009459C8"/>
    <w:rsid w:val="00946B30"/>
    <w:rsid w:val="00947479"/>
    <w:rsid w:val="0095015F"/>
    <w:rsid w:val="00950B06"/>
    <w:rsid w:val="00951A65"/>
    <w:rsid w:val="00951AA6"/>
    <w:rsid w:val="00952F71"/>
    <w:rsid w:val="00954FCE"/>
    <w:rsid w:val="0095557F"/>
    <w:rsid w:val="00955D95"/>
    <w:rsid w:val="00956074"/>
    <w:rsid w:val="0095737F"/>
    <w:rsid w:val="00960656"/>
    <w:rsid w:val="00961581"/>
    <w:rsid w:val="00961ABB"/>
    <w:rsid w:val="009621F0"/>
    <w:rsid w:val="00963D09"/>
    <w:rsid w:val="00964525"/>
    <w:rsid w:val="0096453F"/>
    <w:rsid w:val="00964DF8"/>
    <w:rsid w:val="0096689B"/>
    <w:rsid w:val="009739CB"/>
    <w:rsid w:val="00973FF4"/>
    <w:rsid w:val="009749BE"/>
    <w:rsid w:val="00974AF5"/>
    <w:rsid w:val="0097500E"/>
    <w:rsid w:val="009750A0"/>
    <w:rsid w:val="0097580A"/>
    <w:rsid w:val="00976A00"/>
    <w:rsid w:val="0097784C"/>
    <w:rsid w:val="00977A74"/>
    <w:rsid w:val="00980682"/>
    <w:rsid w:val="00980D1D"/>
    <w:rsid w:val="009811D9"/>
    <w:rsid w:val="0098146B"/>
    <w:rsid w:val="00981904"/>
    <w:rsid w:val="009824F7"/>
    <w:rsid w:val="009832A4"/>
    <w:rsid w:val="0098371F"/>
    <w:rsid w:val="00983A04"/>
    <w:rsid w:val="00986299"/>
    <w:rsid w:val="00991399"/>
    <w:rsid w:val="009925B9"/>
    <w:rsid w:val="0099392E"/>
    <w:rsid w:val="009946EB"/>
    <w:rsid w:val="00994EE5"/>
    <w:rsid w:val="009956BD"/>
    <w:rsid w:val="00995CB5"/>
    <w:rsid w:val="00996609"/>
    <w:rsid w:val="009A0077"/>
    <w:rsid w:val="009A025F"/>
    <w:rsid w:val="009A096C"/>
    <w:rsid w:val="009A0C42"/>
    <w:rsid w:val="009A3F6F"/>
    <w:rsid w:val="009A458E"/>
    <w:rsid w:val="009A489D"/>
    <w:rsid w:val="009A4AC4"/>
    <w:rsid w:val="009A4B53"/>
    <w:rsid w:val="009A5072"/>
    <w:rsid w:val="009A5107"/>
    <w:rsid w:val="009A544B"/>
    <w:rsid w:val="009A55FB"/>
    <w:rsid w:val="009A5EF4"/>
    <w:rsid w:val="009A5F26"/>
    <w:rsid w:val="009A6381"/>
    <w:rsid w:val="009A670C"/>
    <w:rsid w:val="009B03C0"/>
    <w:rsid w:val="009B0583"/>
    <w:rsid w:val="009B06C2"/>
    <w:rsid w:val="009B0ED2"/>
    <w:rsid w:val="009B303B"/>
    <w:rsid w:val="009B31D0"/>
    <w:rsid w:val="009B33F5"/>
    <w:rsid w:val="009B43C8"/>
    <w:rsid w:val="009B45EE"/>
    <w:rsid w:val="009B492D"/>
    <w:rsid w:val="009B5155"/>
    <w:rsid w:val="009B5C4D"/>
    <w:rsid w:val="009B6AB2"/>
    <w:rsid w:val="009B6B48"/>
    <w:rsid w:val="009C0109"/>
    <w:rsid w:val="009C0363"/>
    <w:rsid w:val="009C05F7"/>
    <w:rsid w:val="009C177B"/>
    <w:rsid w:val="009C33B6"/>
    <w:rsid w:val="009C510E"/>
    <w:rsid w:val="009C58BE"/>
    <w:rsid w:val="009C68E1"/>
    <w:rsid w:val="009C6C42"/>
    <w:rsid w:val="009C7FA4"/>
    <w:rsid w:val="009D0CCB"/>
    <w:rsid w:val="009D2484"/>
    <w:rsid w:val="009D3004"/>
    <w:rsid w:val="009D3FE8"/>
    <w:rsid w:val="009D4014"/>
    <w:rsid w:val="009D4327"/>
    <w:rsid w:val="009D4A1C"/>
    <w:rsid w:val="009E0154"/>
    <w:rsid w:val="009E0316"/>
    <w:rsid w:val="009E1EFF"/>
    <w:rsid w:val="009E2A3A"/>
    <w:rsid w:val="009E2CF7"/>
    <w:rsid w:val="009E34A3"/>
    <w:rsid w:val="009E3884"/>
    <w:rsid w:val="009E5A85"/>
    <w:rsid w:val="009E6171"/>
    <w:rsid w:val="009E7526"/>
    <w:rsid w:val="009E7AC5"/>
    <w:rsid w:val="009F00E2"/>
    <w:rsid w:val="009F0E1C"/>
    <w:rsid w:val="009F1183"/>
    <w:rsid w:val="009F28C1"/>
    <w:rsid w:val="009F46A6"/>
    <w:rsid w:val="009F4AFC"/>
    <w:rsid w:val="009F5438"/>
    <w:rsid w:val="009F65F0"/>
    <w:rsid w:val="00A00408"/>
    <w:rsid w:val="00A00E79"/>
    <w:rsid w:val="00A00F6C"/>
    <w:rsid w:val="00A0255D"/>
    <w:rsid w:val="00A044C0"/>
    <w:rsid w:val="00A04C6D"/>
    <w:rsid w:val="00A075CC"/>
    <w:rsid w:val="00A100BC"/>
    <w:rsid w:val="00A118C1"/>
    <w:rsid w:val="00A133A8"/>
    <w:rsid w:val="00A13595"/>
    <w:rsid w:val="00A13CD2"/>
    <w:rsid w:val="00A154D0"/>
    <w:rsid w:val="00A16215"/>
    <w:rsid w:val="00A1700B"/>
    <w:rsid w:val="00A17A22"/>
    <w:rsid w:val="00A17C81"/>
    <w:rsid w:val="00A20ED8"/>
    <w:rsid w:val="00A21536"/>
    <w:rsid w:val="00A221E7"/>
    <w:rsid w:val="00A2350B"/>
    <w:rsid w:val="00A25124"/>
    <w:rsid w:val="00A25D9C"/>
    <w:rsid w:val="00A26456"/>
    <w:rsid w:val="00A26F24"/>
    <w:rsid w:val="00A273BC"/>
    <w:rsid w:val="00A27B64"/>
    <w:rsid w:val="00A27C14"/>
    <w:rsid w:val="00A309F3"/>
    <w:rsid w:val="00A31CF0"/>
    <w:rsid w:val="00A32104"/>
    <w:rsid w:val="00A32619"/>
    <w:rsid w:val="00A34052"/>
    <w:rsid w:val="00A3466C"/>
    <w:rsid w:val="00A359CE"/>
    <w:rsid w:val="00A35E22"/>
    <w:rsid w:val="00A3609B"/>
    <w:rsid w:val="00A36EFF"/>
    <w:rsid w:val="00A377AE"/>
    <w:rsid w:val="00A406E9"/>
    <w:rsid w:val="00A42916"/>
    <w:rsid w:val="00A43258"/>
    <w:rsid w:val="00A43551"/>
    <w:rsid w:val="00A43988"/>
    <w:rsid w:val="00A45205"/>
    <w:rsid w:val="00A46D4E"/>
    <w:rsid w:val="00A47446"/>
    <w:rsid w:val="00A503BC"/>
    <w:rsid w:val="00A52F04"/>
    <w:rsid w:val="00A53708"/>
    <w:rsid w:val="00A54EDA"/>
    <w:rsid w:val="00A55CA0"/>
    <w:rsid w:val="00A55CDB"/>
    <w:rsid w:val="00A60343"/>
    <w:rsid w:val="00A619B0"/>
    <w:rsid w:val="00A629EF"/>
    <w:rsid w:val="00A63CE8"/>
    <w:rsid w:val="00A641EE"/>
    <w:rsid w:val="00A65C25"/>
    <w:rsid w:val="00A65D3F"/>
    <w:rsid w:val="00A65FAD"/>
    <w:rsid w:val="00A67461"/>
    <w:rsid w:val="00A72088"/>
    <w:rsid w:val="00A72D52"/>
    <w:rsid w:val="00A75046"/>
    <w:rsid w:val="00A7747C"/>
    <w:rsid w:val="00A778AD"/>
    <w:rsid w:val="00A779B1"/>
    <w:rsid w:val="00A802A8"/>
    <w:rsid w:val="00A80470"/>
    <w:rsid w:val="00A8272C"/>
    <w:rsid w:val="00A82AA8"/>
    <w:rsid w:val="00A82E7C"/>
    <w:rsid w:val="00A842BB"/>
    <w:rsid w:val="00A84D40"/>
    <w:rsid w:val="00A905CF"/>
    <w:rsid w:val="00A90FAD"/>
    <w:rsid w:val="00A918CB"/>
    <w:rsid w:val="00A91C67"/>
    <w:rsid w:val="00A93395"/>
    <w:rsid w:val="00A937A6"/>
    <w:rsid w:val="00A93A04"/>
    <w:rsid w:val="00A94A3A"/>
    <w:rsid w:val="00A95EC5"/>
    <w:rsid w:val="00A96261"/>
    <w:rsid w:val="00A965F7"/>
    <w:rsid w:val="00A9691D"/>
    <w:rsid w:val="00AA1AE3"/>
    <w:rsid w:val="00AA2B5E"/>
    <w:rsid w:val="00AA2C6F"/>
    <w:rsid w:val="00AA39D3"/>
    <w:rsid w:val="00AA54D5"/>
    <w:rsid w:val="00AA5718"/>
    <w:rsid w:val="00AB078E"/>
    <w:rsid w:val="00AB0D7A"/>
    <w:rsid w:val="00AB2280"/>
    <w:rsid w:val="00AB2E8A"/>
    <w:rsid w:val="00AB37A2"/>
    <w:rsid w:val="00AB4630"/>
    <w:rsid w:val="00AB5C6F"/>
    <w:rsid w:val="00AB617B"/>
    <w:rsid w:val="00AB6AC1"/>
    <w:rsid w:val="00AB76D0"/>
    <w:rsid w:val="00AC11CB"/>
    <w:rsid w:val="00AC1FCD"/>
    <w:rsid w:val="00AC3244"/>
    <w:rsid w:val="00AC3959"/>
    <w:rsid w:val="00AC40C2"/>
    <w:rsid w:val="00AC4DE5"/>
    <w:rsid w:val="00AC51B7"/>
    <w:rsid w:val="00AC546D"/>
    <w:rsid w:val="00AC565A"/>
    <w:rsid w:val="00AC59A3"/>
    <w:rsid w:val="00AC672F"/>
    <w:rsid w:val="00AC7436"/>
    <w:rsid w:val="00AC7954"/>
    <w:rsid w:val="00AC7C5D"/>
    <w:rsid w:val="00AD000E"/>
    <w:rsid w:val="00AD031E"/>
    <w:rsid w:val="00AD0D73"/>
    <w:rsid w:val="00AD1193"/>
    <w:rsid w:val="00AD64CD"/>
    <w:rsid w:val="00AD66DC"/>
    <w:rsid w:val="00AD73A0"/>
    <w:rsid w:val="00AE0C50"/>
    <w:rsid w:val="00AE15D3"/>
    <w:rsid w:val="00AE17D5"/>
    <w:rsid w:val="00AE2D6B"/>
    <w:rsid w:val="00AE2DCC"/>
    <w:rsid w:val="00AE32C5"/>
    <w:rsid w:val="00AE3991"/>
    <w:rsid w:val="00AE4E7D"/>
    <w:rsid w:val="00AE5A8F"/>
    <w:rsid w:val="00AE6351"/>
    <w:rsid w:val="00AE76A3"/>
    <w:rsid w:val="00AE79D3"/>
    <w:rsid w:val="00AE7D28"/>
    <w:rsid w:val="00AF0962"/>
    <w:rsid w:val="00AF0BE1"/>
    <w:rsid w:val="00AF2803"/>
    <w:rsid w:val="00AF2939"/>
    <w:rsid w:val="00AF3F2E"/>
    <w:rsid w:val="00AF488F"/>
    <w:rsid w:val="00AF712C"/>
    <w:rsid w:val="00B0015B"/>
    <w:rsid w:val="00B005E8"/>
    <w:rsid w:val="00B008E5"/>
    <w:rsid w:val="00B01189"/>
    <w:rsid w:val="00B01E74"/>
    <w:rsid w:val="00B02221"/>
    <w:rsid w:val="00B04903"/>
    <w:rsid w:val="00B05631"/>
    <w:rsid w:val="00B0579A"/>
    <w:rsid w:val="00B0724B"/>
    <w:rsid w:val="00B1130A"/>
    <w:rsid w:val="00B11C49"/>
    <w:rsid w:val="00B12649"/>
    <w:rsid w:val="00B12BD7"/>
    <w:rsid w:val="00B136C1"/>
    <w:rsid w:val="00B13715"/>
    <w:rsid w:val="00B13A68"/>
    <w:rsid w:val="00B15621"/>
    <w:rsid w:val="00B158A5"/>
    <w:rsid w:val="00B16635"/>
    <w:rsid w:val="00B166F6"/>
    <w:rsid w:val="00B16AE6"/>
    <w:rsid w:val="00B174A7"/>
    <w:rsid w:val="00B252CA"/>
    <w:rsid w:val="00B2537B"/>
    <w:rsid w:val="00B26263"/>
    <w:rsid w:val="00B274AC"/>
    <w:rsid w:val="00B27ABC"/>
    <w:rsid w:val="00B30CB7"/>
    <w:rsid w:val="00B31926"/>
    <w:rsid w:val="00B32907"/>
    <w:rsid w:val="00B3290F"/>
    <w:rsid w:val="00B348C0"/>
    <w:rsid w:val="00B34C29"/>
    <w:rsid w:val="00B35362"/>
    <w:rsid w:val="00B355D4"/>
    <w:rsid w:val="00B35CA2"/>
    <w:rsid w:val="00B36A62"/>
    <w:rsid w:val="00B40724"/>
    <w:rsid w:val="00B4080D"/>
    <w:rsid w:val="00B40986"/>
    <w:rsid w:val="00B40C80"/>
    <w:rsid w:val="00B40D75"/>
    <w:rsid w:val="00B43F8E"/>
    <w:rsid w:val="00B4464E"/>
    <w:rsid w:val="00B4645C"/>
    <w:rsid w:val="00B47769"/>
    <w:rsid w:val="00B47E66"/>
    <w:rsid w:val="00B503DC"/>
    <w:rsid w:val="00B51539"/>
    <w:rsid w:val="00B51CAF"/>
    <w:rsid w:val="00B51F1C"/>
    <w:rsid w:val="00B525D7"/>
    <w:rsid w:val="00B52776"/>
    <w:rsid w:val="00B52A74"/>
    <w:rsid w:val="00B52E81"/>
    <w:rsid w:val="00B53393"/>
    <w:rsid w:val="00B56A72"/>
    <w:rsid w:val="00B56BEC"/>
    <w:rsid w:val="00B5728A"/>
    <w:rsid w:val="00B57ADE"/>
    <w:rsid w:val="00B57F32"/>
    <w:rsid w:val="00B60C6C"/>
    <w:rsid w:val="00B60F18"/>
    <w:rsid w:val="00B61BC8"/>
    <w:rsid w:val="00B61D79"/>
    <w:rsid w:val="00B62DEE"/>
    <w:rsid w:val="00B63085"/>
    <w:rsid w:val="00B6320D"/>
    <w:rsid w:val="00B63C92"/>
    <w:rsid w:val="00B63F12"/>
    <w:rsid w:val="00B65936"/>
    <w:rsid w:val="00B66DD8"/>
    <w:rsid w:val="00B714E7"/>
    <w:rsid w:val="00B72A7F"/>
    <w:rsid w:val="00B73EC5"/>
    <w:rsid w:val="00B73F5A"/>
    <w:rsid w:val="00B74981"/>
    <w:rsid w:val="00B75588"/>
    <w:rsid w:val="00B762D1"/>
    <w:rsid w:val="00B768A0"/>
    <w:rsid w:val="00B76A10"/>
    <w:rsid w:val="00B77379"/>
    <w:rsid w:val="00B77B83"/>
    <w:rsid w:val="00B77F94"/>
    <w:rsid w:val="00B806EF"/>
    <w:rsid w:val="00B81087"/>
    <w:rsid w:val="00B813F3"/>
    <w:rsid w:val="00B821C7"/>
    <w:rsid w:val="00B82599"/>
    <w:rsid w:val="00B8275A"/>
    <w:rsid w:val="00B82B6D"/>
    <w:rsid w:val="00B8304D"/>
    <w:rsid w:val="00B844B3"/>
    <w:rsid w:val="00B853D1"/>
    <w:rsid w:val="00B853F8"/>
    <w:rsid w:val="00B8779D"/>
    <w:rsid w:val="00B877C5"/>
    <w:rsid w:val="00B9036A"/>
    <w:rsid w:val="00B91F8F"/>
    <w:rsid w:val="00B924E2"/>
    <w:rsid w:val="00B95954"/>
    <w:rsid w:val="00B96672"/>
    <w:rsid w:val="00B96714"/>
    <w:rsid w:val="00B96EF6"/>
    <w:rsid w:val="00B97BD9"/>
    <w:rsid w:val="00BA09C8"/>
    <w:rsid w:val="00BA2968"/>
    <w:rsid w:val="00BA3E5A"/>
    <w:rsid w:val="00BA4DB9"/>
    <w:rsid w:val="00BA7229"/>
    <w:rsid w:val="00BB00FB"/>
    <w:rsid w:val="00BB094C"/>
    <w:rsid w:val="00BB0D31"/>
    <w:rsid w:val="00BB210A"/>
    <w:rsid w:val="00BB3C5F"/>
    <w:rsid w:val="00BB4C82"/>
    <w:rsid w:val="00BB52A1"/>
    <w:rsid w:val="00BB5B0A"/>
    <w:rsid w:val="00BB6A28"/>
    <w:rsid w:val="00BB6B1C"/>
    <w:rsid w:val="00BB6CC1"/>
    <w:rsid w:val="00BB7E7F"/>
    <w:rsid w:val="00BC1D0B"/>
    <w:rsid w:val="00BC2611"/>
    <w:rsid w:val="00BC2634"/>
    <w:rsid w:val="00BC3123"/>
    <w:rsid w:val="00BC37D3"/>
    <w:rsid w:val="00BC5613"/>
    <w:rsid w:val="00BC576A"/>
    <w:rsid w:val="00BC5D94"/>
    <w:rsid w:val="00BC6762"/>
    <w:rsid w:val="00BD0A13"/>
    <w:rsid w:val="00BD0AAE"/>
    <w:rsid w:val="00BD354F"/>
    <w:rsid w:val="00BD4327"/>
    <w:rsid w:val="00BD49E9"/>
    <w:rsid w:val="00BD5F81"/>
    <w:rsid w:val="00BD69A0"/>
    <w:rsid w:val="00BE000A"/>
    <w:rsid w:val="00BE0011"/>
    <w:rsid w:val="00BE062F"/>
    <w:rsid w:val="00BE14BB"/>
    <w:rsid w:val="00BE2DC0"/>
    <w:rsid w:val="00BE30CD"/>
    <w:rsid w:val="00BE3228"/>
    <w:rsid w:val="00BE618D"/>
    <w:rsid w:val="00BE6896"/>
    <w:rsid w:val="00BE72C8"/>
    <w:rsid w:val="00BE75E9"/>
    <w:rsid w:val="00BF00ED"/>
    <w:rsid w:val="00BF16DD"/>
    <w:rsid w:val="00BF1A06"/>
    <w:rsid w:val="00BF289D"/>
    <w:rsid w:val="00BF33DD"/>
    <w:rsid w:val="00BF4496"/>
    <w:rsid w:val="00BF5A4A"/>
    <w:rsid w:val="00BF6B95"/>
    <w:rsid w:val="00BF6ECA"/>
    <w:rsid w:val="00BF7569"/>
    <w:rsid w:val="00BF7D6D"/>
    <w:rsid w:val="00C002B9"/>
    <w:rsid w:val="00C00AE3"/>
    <w:rsid w:val="00C01DAE"/>
    <w:rsid w:val="00C01FA3"/>
    <w:rsid w:val="00C02C1F"/>
    <w:rsid w:val="00C03242"/>
    <w:rsid w:val="00C0455B"/>
    <w:rsid w:val="00C052B4"/>
    <w:rsid w:val="00C064A6"/>
    <w:rsid w:val="00C079C5"/>
    <w:rsid w:val="00C11B72"/>
    <w:rsid w:val="00C12B16"/>
    <w:rsid w:val="00C13E3A"/>
    <w:rsid w:val="00C13EA9"/>
    <w:rsid w:val="00C14B12"/>
    <w:rsid w:val="00C1575F"/>
    <w:rsid w:val="00C20FCE"/>
    <w:rsid w:val="00C21178"/>
    <w:rsid w:val="00C2175A"/>
    <w:rsid w:val="00C21796"/>
    <w:rsid w:val="00C22D8C"/>
    <w:rsid w:val="00C22E39"/>
    <w:rsid w:val="00C233EF"/>
    <w:rsid w:val="00C235F4"/>
    <w:rsid w:val="00C23A63"/>
    <w:rsid w:val="00C23FB7"/>
    <w:rsid w:val="00C24AA3"/>
    <w:rsid w:val="00C26517"/>
    <w:rsid w:val="00C27987"/>
    <w:rsid w:val="00C307D7"/>
    <w:rsid w:val="00C30936"/>
    <w:rsid w:val="00C3179C"/>
    <w:rsid w:val="00C31D90"/>
    <w:rsid w:val="00C3374F"/>
    <w:rsid w:val="00C354E0"/>
    <w:rsid w:val="00C409EC"/>
    <w:rsid w:val="00C42E95"/>
    <w:rsid w:val="00C43DA6"/>
    <w:rsid w:val="00C45EC6"/>
    <w:rsid w:val="00C47E84"/>
    <w:rsid w:val="00C527C8"/>
    <w:rsid w:val="00C53D66"/>
    <w:rsid w:val="00C552E2"/>
    <w:rsid w:val="00C5568E"/>
    <w:rsid w:val="00C57614"/>
    <w:rsid w:val="00C57D8A"/>
    <w:rsid w:val="00C60CB2"/>
    <w:rsid w:val="00C60CDD"/>
    <w:rsid w:val="00C615AD"/>
    <w:rsid w:val="00C616B3"/>
    <w:rsid w:val="00C623EC"/>
    <w:rsid w:val="00C62668"/>
    <w:rsid w:val="00C62D6D"/>
    <w:rsid w:val="00C6398F"/>
    <w:rsid w:val="00C6592F"/>
    <w:rsid w:val="00C70889"/>
    <w:rsid w:val="00C7105B"/>
    <w:rsid w:val="00C7180A"/>
    <w:rsid w:val="00C736BA"/>
    <w:rsid w:val="00C760AE"/>
    <w:rsid w:val="00C774EB"/>
    <w:rsid w:val="00C77A9E"/>
    <w:rsid w:val="00C80826"/>
    <w:rsid w:val="00C80A6A"/>
    <w:rsid w:val="00C80D60"/>
    <w:rsid w:val="00C81213"/>
    <w:rsid w:val="00C82281"/>
    <w:rsid w:val="00C860FC"/>
    <w:rsid w:val="00C86BBC"/>
    <w:rsid w:val="00C86DAE"/>
    <w:rsid w:val="00C906C5"/>
    <w:rsid w:val="00C91B0A"/>
    <w:rsid w:val="00C92813"/>
    <w:rsid w:val="00C92EC4"/>
    <w:rsid w:val="00C93F38"/>
    <w:rsid w:val="00C949CE"/>
    <w:rsid w:val="00C95B95"/>
    <w:rsid w:val="00C95D49"/>
    <w:rsid w:val="00C96DC5"/>
    <w:rsid w:val="00CA0B95"/>
    <w:rsid w:val="00CA0FA7"/>
    <w:rsid w:val="00CA1A13"/>
    <w:rsid w:val="00CA1A3C"/>
    <w:rsid w:val="00CA2C37"/>
    <w:rsid w:val="00CA5F41"/>
    <w:rsid w:val="00CA60E3"/>
    <w:rsid w:val="00CB208E"/>
    <w:rsid w:val="00CB4DFB"/>
    <w:rsid w:val="00CB6654"/>
    <w:rsid w:val="00CB6B67"/>
    <w:rsid w:val="00CB7067"/>
    <w:rsid w:val="00CB7B13"/>
    <w:rsid w:val="00CC07E6"/>
    <w:rsid w:val="00CC0E49"/>
    <w:rsid w:val="00CC1D60"/>
    <w:rsid w:val="00CC47E3"/>
    <w:rsid w:val="00CC4F4C"/>
    <w:rsid w:val="00CC689B"/>
    <w:rsid w:val="00CC6C7A"/>
    <w:rsid w:val="00CC6CB0"/>
    <w:rsid w:val="00CC6DFB"/>
    <w:rsid w:val="00CD16A4"/>
    <w:rsid w:val="00CD381F"/>
    <w:rsid w:val="00CD39D6"/>
    <w:rsid w:val="00CD4099"/>
    <w:rsid w:val="00CD46E7"/>
    <w:rsid w:val="00CD5298"/>
    <w:rsid w:val="00CD661C"/>
    <w:rsid w:val="00CE00E3"/>
    <w:rsid w:val="00CE1AFF"/>
    <w:rsid w:val="00CE1C72"/>
    <w:rsid w:val="00CE35A8"/>
    <w:rsid w:val="00CE4D28"/>
    <w:rsid w:val="00CE52C6"/>
    <w:rsid w:val="00CE542B"/>
    <w:rsid w:val="00CE5552"/>
    <w:rsid w:val="00CE5A6E"/>
    <w:rsid w:val="00CE60F8"/>
    <w:rsid w:val="00CF146F"/>
    <w:rsid w:val="00CF46B3"/>
    <w:rsid w:val="00CF4C26"/>
    <w:rsid w:val="00CF502E"/>
    <w:rsid w:val="00CF68EE"/>
    <w:rsid w:val="00CF79EC"/>
    <w:rsid w:val="00D003A7"/>
    <w:rsid w:val="00D005E3"/>
    <w:rsid w:val="00D01A59"/>
    <w:rsid w:val="00D01AC4"/>
    <w:rsid w:val="00D02D8A"/>
    <w:rsid w:val="00D03176"/>
    <w:rsid w:val="00D03678"/>
    <w:rsid w:val="00D03D21"/>
    <w:rsid w:val="00D03FE9"/>
    <w:rsid w:val="00D04C24"/>
    <w:rsid w:val="00D04CD6"/>
    <w:rsid w:val="00D051FC"/>
    <w:rsid w:val="00D068C3"/>
    <w:rsid w:val="00D113A0"/>
    <w:rsid w:val="00D11634"/>
    <w:rsid w:val="00D137D2"/>
    <w:rsid w:val="00D1424D"/>
    <w:rsid w:val="00D15E99"/>
    <w:rsid w:val="00D1628D"/>
    <w:rsid w:val="00D1691C"/>
    <w:rsid w:val="00D16A8F"/>
    <w:rsid w:val="00D16E15"/>
    <w:rsid w:val="00D203AE"/>
    <w:rsid w:val="00D2083C"/>
    <w:rsid w:val="00D21761"/>
    <w:rsid w:val="00D218A8"/>
    <w:rsid w:val="00D21DE1"/>
    <w:rsid w:val="00D241E9"/>
    <w:rsid w:val="00D243C2"/>
    <w:rsid w:val="00D24EEF"/>
    <w:rsid w:val="00D25221"/>
    <w:rsid w:val="00D267C0"/>
    <w:rsid w:val="00D26918"/>
    <w:rsid w:val="00D27C8F"/>
    <w:rsid w:val="00D31D2F"/>
    <w:rsid w:val="00D32B42"/>
    <w:rsid w:val="00D32E7C"/>
    <w:rsid w:val="00D33DCD"/>
    <w:rsid w:val="00D34A34"/>
    <w:rsid w:val="00D35EF4"/>
    <w:rsid w:val="00D363A7"/>
    <w:rsid w:val="00D370B0"/>
    <w:rsid w:val="00D37F21"/>
    <w:rsid w:val="00D40A28"/>
    <w:rsid w:val="00D42B4E"/>
    <w:rsid w:val="00D42D38"/>
    <w:rsid w:val="00D431C8"/>
    <w:rsid w:val="00D43323"/>
    <w:rsid w:val="00D4405E"/>
    <w:rsid w:val="00D449E4"/>
    <w:rsid w:val="00D44CE0"/>
    <w:rsid w:val="00D45518"/>
    <w:rsid w:val="00D45903"/>
    <w:rsid w:val="00D4704D"/>
    <w:rsid w:val="00D474EB"/>
    <w:rsid w:val="00D47B63"/>
    <w:rsid w:val="00D50C0E"/>
    <w:rsid w:val="00D522CD"/>
    <w:rsid w:val="00D525EE"/>
    <w:rsid w:val="00D5279B"/>
    <w:rsid w:val="00D538E8"/>
    <w:rsid w:val="00D54B86"/>
    <w:rsid w:val="00D54C6B"/>
    <w:rsid w:val="00D5517D"/>
    <w:rsid w:val="00D55574"/>
    <w:rsid w:val="00D55794"/>
    <w:rsid w:val="00D55940"/>
    <w:rsid w:val="00D563F8"/>
    <w:rsid w:val="00D56788"/>
    <w:rsid w:val="00D603C9"/>
    <w:rsid w:val="00D61A9A"/>
    <w:rsid w:val="00D62404"/>
    <w:rsid w:val="00D63AA7"/>
    <w:rsid w:val="00D63B76"/>
    <w:rsid w:val="00D6441C"/>
    <w:rsid w:val="00D65E2C"/>
    <w:rsid w:val="00D65ECA"/>
    <w:rsid w:val="00D6640A"/>
    <w:rsid w:val="00D66922"/>
    <w:rsid w:val="00D678B2"/>
    <w:rsid w:val="00D70570"/>
    <w:rsid w:val="00D719FB"/>
    <w:rsid w:val="00D73673"/>
    <w:rsid w:val="00D74D46"/>
    <w:rsid w:val="00D74D71"/>
    <w:rsid w:val="00D75736"/>
    <w:rsid w:val="00D76110"/>
    <w:rsid w:val="00D7637B"/>
    <w:rsid w:val="00D763D9"/>
    <w:rsid w:val="00D80160"/>
    <w:rsid w:val="00D8061C"/>
    <w:rsid w:val="00D817CA"/>
    <w:rsid w:val="00D82829"/>
    <w:rsid w:val="00D82ABB"/>
    <w:rsid w:val="00D83702"/>
    <w:rsid w:val="00D8550F"/>
    <w:rsid w:val="00D86F7E"/>
    <w:rsid w:val="00D8713A"/>
    <w:rsid w:val="00D87D36"/>
    <w:rsid w:val="00D90B09"/>
    <w:rsid w:val="00D929DD"/>
    <w:rsid w:val="00D93243"/>
    <w:rsid w:val="00D93A30"/>
    <w:rsid w:val="00D93E64"/>
    <w:rsid w:val="00D93EA3"/>
    <w:rsid w:val="00D94D3E"/>
    <w:rsid w:val="00D94DAF"/>
    <w:rsid w:val="00D9556A"/>
    <w:rsid w:val="00D966B1"/>
    <w:rsid w:val="00D978A0"/>
    <w:rsid w:val="00DA24BE"/>
    <w:rsid w:val="00DA309A"/>
    <w:rsid w:val="00DA4C9F"/>
    <w:rsid w:val="00DA5360"/>
    <w:rsid w:val="00DA55A1"/>
    <w:rsid w:val="00DA5C76"/>
    <w:rsid w:val="00DA6E60"/>
    <w:rsid w:val="00DA740C"/>
    <w:rsid w:val="00DA7A8F"/>
    <w:rsid w:val="00DB0ACC"/>
    <w:rsid w:val="00DB0D4A"/>
    <w:rsid w:val="00DB12BE"/>
    <w:rsid w:val="00DB196C"/>
    <w:rsid w:val="00DB20FA"/>
    <w:rsid w:val="00DB269C"/>
    <w:rsid w:val="00DB2948"/>
    <w:rsid w:val="00DB2BBB"/>
    <w:rsid w:val="00DB3DFA"/>
    <w:rsid w:val="00DB3FED"/>
    <w:rsid w:val="00DB4030"/>
    <w:rsid w:val="00DB433F"/>
    <w:rsid w:val="00DB4977"/>
    <w:rsid w:val="00DB5062"/>
    <w:rsid w:val="00DB61D4"/>
    <w:rsid w:val="00DB69C8"/>
    <w:rsid w:val="00DB790E"/>
    <w:rsid w:val="00DB7B44"/>
    <w:rsid w:val="00DC258A"/>
    <w:rsid w:val="00DC3308"/>
    <w:rsid w:val="00DC619B"/>
    <w:rsid w:val="00DC6544"/>
    <w:rsid w:val="00DD03E9"/>
    <w:rsid w:val="00DD09BF"/>
    <w:rsid w:val="00DD0BD1"/>
    <w:rsid w:val="00DD2269"/>
    <w:rsid w:val="00DD3FBC"/>
    <w:rsid w:val="00DD45F9"/>
    <w:rsid w:val="00DD47A5"/>
    <w:rsid w:val="00DD5126"/>
    <w:rsid w:val="00DD56D3"/>
    <w:rsid w:val="00DD59AB"/>
    <w:rsid w:val="00DD63E4"/>
    <w:rsid w:val="00DD7E67"/>
    <w:rsid w:val="00DE017D"/>
    <w:rsid w:val="00DE17D3"/>
    <w:rsid w:val="00DE1985"/>
    <w:rsid w:val="00DE3592"/>
    <w:rsid w:val="00DE4437"/>
    <w:rsid w:val="00DE4750"/>
    <w:rsid w:val="00DE49C2"/>
    <w:rsid w:val="00DE4FE7"/>
    <w:rsid w:val="00DE5A07"/>
    <w:rsid w:val="00DE5DEE"/>
    <w:rsid w:val="00DE5FC3"/>
    <w:rsid w:val="00DF006D"/>
    <w:rsid w:val="00DF2A0E"/>
    <w:rsid w:val="00DF2EBA"/>
    <w:rsid w:val="00DF37B4"/>
    <w:rsid w:val="00DF384E"/>
    <w:rsid w:val="00DF409C"/>
    <w:rsid w:val="00DF5E2B"/>
    <w:rsid w:val="00DF7149"/>
    <w:rsid w:val="00DF7EA9"/>
    <w:rsid w:val="00E009AE"/>
    <w:rsid w:val="00E00A80"/>
    <w:rsid w:val="00E01279"/>
    <w:rsid w:val="00E01F97"/>
    <w:rsid w:val="00E02D37"/>
    <w:rsid w:val="00E03633"/>
    <w:rsid w:val="00E04880"/>
    <w:rsid w:val="00E073D8"/>
    <w:rsid w:val="00E1188E"/>
    <w:rsid w:val="00E134C5"/>
    <w:rsid w:val="00E1553B"/>
    <w:rsid w:val="00E16E2E"/>
    <w:rsid w:val="00E22098"/>
    <w:rsid w:val="00E220D4"/>
    <w:rsid w:val="00E222C8"/>
    <w:rsid w:val="00E22592"/>
    <w:rsid w:val="00E234C7"/>
    <w:rsid w:val="00E259AB"/>
    <w:rsid w:val="00E25BF0"/>
    <w:rsid w:val="00E2621C"/>
    <w:rsid w:val="00E27F21"/>
    <w:rsid w:val="00E3253D"/>
    <w:rsid w:val="00E33BE1"/>
    <w:rsid w:val="00E33F8C"/>
    <w:rsid w:val="00E35A30"/>
    <w:rsid w:val="00E37A7D"/>
    <w:rsid w:val="00E410F9"/>
    <w:rsid w:val="00E418D2"/>
    <w:rsid w:val="00E4192C"/>
    <w:rsid w:val="00E427BC"/>
    <w:rsid w:val="00E428C9"/>
    <w:rsid w:val="00E42C86"/>
    <w:rsid w:val="00E42F14"/>
    <w:rsid w:val="00E43F65"/>
    <w:rsid w:val="00E44F4E"/>
    <w:rsid w:val="00E45E6B"/>
    <w:rsid w:val="00E46406"/>
    <w:rsid w:val="00E473FA"/>
    <w:rsid w:val="00E5019D"/>
    <w:rsid w:val="00E5189D"/>
    <w:rsid w:val="00E520C5"/>
    <w:rsid w:val="00E53664"/>
    <w:rsid w:val="00E54414"/>
    <w:rsid w:val="00E54FFE"/>
    <w:rsid w:val="00E5631E"/>
    <w:rsid w:val="00E563FC"/>
    <w:rsid w:val="00E569C7"/>
    <w:rsid w:val="00E56F2C"/>
    <w:rsid w:val="00E57BF5"/>
    <w:rsid w:val="00E57DF2"/>
    <w:rsid w:val="00E60B3E"/>
    <w:rsid w:val="00E61267"/>
    <w:rsid w:val="00E616C8"/>
    <w:rsid w:val="00E61E15"/>
    <w:rsid w:val="00E6358C"/>
    <w:rsid w:val="00E64024"/>
    <w:rsid w:val="00E65107"/>
    <w:rsid w:val="00E6545C"/>
    <w:rsid w:val="00E66B7D"/>
    <w:rsid w:val="00E672D8"/>
    <w:rsid w:val="00E67CB7"/>
    <w:rsid w:val="00E70070"/>
    <w:rsid w:val="00E71630"/>
    <w:rsid w:val="00E7174A"/>
    <w:rsid w:val="00E720B5"/>
    <w:rsid w:val="00E727BC"/>
    <w:rsid w:val="00E7314B"/>
    <w:rsid w:val="00E74909"/>
    <w:rsid w:val="00E75A1C"/>
    <w:rsid w:val="00E77420"/>
    <w:rsid w:val="00E8001F"/>
    <w:rsid w:val="00E80402"/>
    <w:rsid w:val="00E8054F"/>
    <w:rsid w:val="00E82AB3"/>
    <w:rsid w:val="00E8444E"/>
    <w:rsid w:val="00E84F97"/>
    <w:rsid w:val="00E86389"/>
    <w:rsid w:val="00E867F0"/>
    <w:rsid w:val="00E86F24"/>
    <w:rsid w:val="00E8771A"/>
    <w:rsid w:val="00E96992"/>
    <w:rsid w:val="00E96AA6"/>
    <w:rsid w:val="00E97BBC"/>
    <w:rsid w:val="00E97EA7"/>
    <w:rsid w:val="00E97F30"/>
    <w:rsid w:val="00EA0DC6"/>
    <w:rsid w:val="00EA33B4"/>
    <w:rsid w:val="00EA49A1"/>
    <w:rsid w:val="00EA5339"/>
    <w:rsid w:val="00EA5B4B"/>
    <w:rsid w:val="00EA7FDF"/>
    <w:rsid w:val="00EB0A16"/>
    <w:rsid w:val="00EB0AE4"/>
    <w:rsid w:val="00EB0B32"/>
    <w:rsid w:val="00EB155A"/>
    <w:rsid w:val="00EB19E3"/>
    <w:rsid w:val="00EB1A84"/>
    <w:rsid w:val="00EB31CE"/>
    <w:rsid w:val="00EB38CD"/>
    <w:rsid w:val="00EB5FB8"/>
    <w:rsid w:val="00EB65DE"/>
    <w:rsid w:val="00EB664C"/>
    <w:rsid w:val="00EB6C4D"/>
    <w:rsid w:val="00EB76DD"/>
    <w:rsid w:val="00EC04D2"/>
    <w:rsid w:val="00EC16EA"/>
    <w:rsid w:val="00EC1B77"/>
    <w:rsid w:val="00EC3296"/>
    <w:rsid w:val="00EC4559"/>
    <w:rsid w:val="00EC4D5F"/>
    <w:rsid w:val="00EC558F"/>
    <w:rsid w:val="00EC5B08"/>
    <w:rsid w:val="00EC6BD7"/>
    <w:rsid w:val="00EC71F0"/>
    <w:rsid w:val="00ED0389"/>
    <w:rsid w:val="00ED10AA"/>
    <w:rsid w:val="00ED2289"/>
    <w:rsid w:val="00ED31F2"/>
    <w:rsid w:val="00ED3887"/>
    <w:rsid w:val="00ED3B13"/>
    <w:rsid w:val="00ED4475"/>
    <w:rsid w:val="00ED5A2F"/>
    <w:rsid w:val="00ED6317"/>
    <w:rsid w:val="00ED7C60"/>
    <w:rsid w:val="00EE0F3E"/>
    <w:rsid w:val="00EE127F"/>
    <w:rsid w:val="00EE14E5"/>
    <w:rsid w:val="00EE22D2"/>
    <w:rsid w:val="00EE2C1F"/>
    <w:rsid w:val="00EE42DC"/>
    <w:rsid w:val="00EE493E"/>
    <w:rsid w:val="00EE4C94"/>
    <w:rsid w:val="00EE523C"/>
    <w:rsid w:val="00EE610A"/>
    <w:rsid w:val="00EE6B9B"/>
    <w:rsid w:val="00EE6D2A"/>
    <w:rsid w:val="00EE7799"/>
    <w:rsid w:val="00EF091A"/>
    <w:rsid w:val="00EF0B8B"/>
    <w:rsid w:val="00EF0DA8"/>
    <w:rsid w:val="00EF16B2"/>
    <w:rsid w:val="00EF19D1"/>
    <w:rsid w:val="00EF23AA"/>
    <w:rsid w:val="00EF27EE"/>
    <w:rsid w:val="00EF2B1B"/>
    <w:rsid w:val="00EF49B1"/>
    <w:rsid w:val="00EF53D7"/>
    <w:rsid w:val="00EF6B4B"/>
    <w:rsid w:val="00EF77ED"/>
    <w:rsid w:val="00EF7D14"/>
    <w:rsid w:val="00F00658"/>
    <w:rsid w:val="00F00ACF"/>
    <w:rsid w:val="00F01AAD"/>
    <w:rsid w:val="00F022BB"/>
    <w:rsid w:val="00F022F9"/>
    <w:rsid w:val="00F03066"/>
    <w:rsid w:val="00F033F5"/>
    <w:rsid w:val="00F03AD3"/>
    <w:rsid w:val="00F0500C"/>
    <w:rsid w:val="00F05422"/>
    <w:rsid w:val="00F06B92"/>
    <w:rsid w:val="00F07172"/>
    <w:rsid w:val="00F1257F"/>
    <w:rsid w:val="00F14940"/>
    <w:rsid w:val="00F14949"/>
    <w:rsid w:val="00F14C3A"/>
    <w:rsid w:val="00F15F73"/>
    <w:rsid w:val="00F160C3"/>
    <w:rsid w:val="00F171D2"/>
    <w:rsid w:val="00F173C1"/>
    <w:rsid w:val="00F20826"/>
    <w:rsid w:val="00F21808"/>
    <w:rsid w:val="00F21C5F"/>
    <w:rsid w:val="00F22451"/>
    <w:rsid w:val="00F22BFE"/>
    <w:rsid w:val="00F23826"/>
    <w:rsid w:val="00F25154"/>
    <w:rsid w:val="00F25201"/>
    <w:rsid w:val="00F25366"/>
    <w:rsid w:val="00F25436"/>
    <w:rsid w:val="00F2566C"/>
    <w:rsid w:val="00F26DCB"/>
    <w:rsid w:val="00F27054"/>
    <w:rsid w:val="00F270CC"/>
    <w:rsid w:val="00F27635"/>
    <w:rsid w:val="00F27C41"/>
    <w:rsid w:val="00F31B40"/>
    <w:rsid w:val="00F322D8"/>
    <w:rsid w:val="00F35AF2"/>
    <w:rsid w:val="00F3729F"/>
    <w:rsid w:val="00F4019B"/>
    <w:rsid w:val="00F40B32"/>
    <w:rsid w:val="00F41270"/>
    <w:rsid w:val="00F413AD"/>
    <w:rsid w:val="00F41B12"/>
    <w:rsid w:val="00F41D5A"/>
    <w:rsid w:val="00F44E14"/>
    <w:rsid w:val="00F4528A"/>
    <w:rsid w:val="00F45CAD"/>
    <w:rsid w:val="00F46335"/>
    <w:rsid w:val="00F46412"/>
    <w:rsid w:val="00F47DFF"/>
    <w:rsid w:val="00F51EDB"/>
    <w:rsid w:val="00F521DB"/>
    <w:rsid w:val="00F526B0"/>
    <w:rsid w:val="00F53BE2"/>
    <w:rsid w:val="00F55359"/>
    <w:rsid w:val="00F553A0"/>
    <w:rsid w:val="00F56A07"/>
    <w:rsid w:val="00F571FE"/>
    <w:rsid w:val="00F57392"/>
    <w:rsid w:val="00F600DE"/>
    <w:rsid w:val="00F61628"/>
    <w:rsid w:val="00F627F4"/>
    <w:rsid w:val="00F63FF3"/>
    <w:rsid w:val="00F64729"/>
    <w:rsid w:val="00F64E87"/>
    <w:rsid w:val="00F65D69"/>
    <w:rsid w:val="00F6711A"/>
    <w:rsid w:val="00F672F2"/>
    <w:rsid w:val="00F6785C"/>
    <w:rsid w:val="00F67D4C"/>
    <w:rsid w:val="00F70104"/>
    <w:rsid w:val="00F70479"/>
    <w:rsid w:val="00F708FE"/>
    <w:rsid w:val="00F711CF"/>
    <w:rsid w:val="00F7352E"/>
    <w:rsid w:val="00F74091"/>
    <w:rsid w:val="00F74452"/>
    <w:rsid w:val="00F75BAD"/>
    <w:rsid w:val="00F764E0"/>
    <w:rsid w:val="00F771F5"/>
    <w:rsid w:val="00F77B8B"/>
    <w:rsid w:val="00F801B8"/>
    <w:rsid w:val="00F80275"/>
    <w:rsid w:val="00F807DF"/>
    <w:rsid w:val="00F811EA"/>
    <w:rsid w:val="00F81ABE"/>
    <w:rsid w:val="00F8207E"/>
    <w:rsid w:val="00F820C7"/>
    <w:rsid w:val="00F8332A"/>
    <w:rsid w:val="00F8333E"/>
    <w:rsid w:val="00F845CB"/>
    <w:rsid w:val="00F846E0"/>
    <w:rsid w:val="00F853DF"/>
    <w:rsid w:val="00F85FCB"/>
    <w:rsid w:val="00F862EC"/>
    <w:rsid w:val="00F8751A"/>
    <w:rsid w:val="00F9054D"/>
    <w:rsid w:val="00F94187"/>
    <w:rsid w:val="00F9460D"/>
    <w:rsid w:val="00F94626"/>
    <w:rsid w:val="00F9584A"/>
    <w:rsid w:val="00F95A35"/>
    <w:rsid w:val="00F9763E"/>
    <w:rsid w:val="00F97B9E"/>
    <w:rsid w:val="00FA24FD"/>
    <w:rsid w:val="00FA2B43"/>
    <w:rsid w:val="00FA3342"/>
    <w:rsid w:val="00FA45EB"/>
    <w:rsid w:val="00FB19D5"/>
    <w:rsid w:val="00FB1D99"/>
    <w:rsid w:val="00FB239A"/>
    <w:rsid w:val="00FB2639"/>
    <w:rsid w:val="00FB3E30"/>
    <w:rsid w:val="00FB4BCB"/>
    <w:rsid w:val="00FB512F"/>
    <w:rsid w:val="00FB6BB5"/>
    <w:rsid w:val="00FB6DC6"/>
    <w:rsid w:val="00FB6DDA"/>
    <w:rsid w:val="00FC0373"/>
    <w:rsid w:val="00FC12A9"/>
    <w:rsid w:val="00FC60F0"/>
    <w:rsid w:val="00FC6238"/>
    <w:rsid w:val="00FC68D1"/>
    <w:rsid w:val="00FC70DF"/>
    <w:rsid w:val="00FC7CD2"/>
    <w:rsid w:val="00FD0AA6"/>
    <w:rsid w:val="00FD1EDB"/>
    <w:rsid w:val="00FD2585"/>
    <w:rsid w:val="00FD5571"/>
    <w:rsid w:val="00FD5B0C"/>
    <w:rsid w:val="00FD6066"/>
    <w:rsid w:val="00FD7B45"/>
    <w:rsid w:val="00FD7E3E"/>
    <w:rsid w:val="00FE08B6"/>
    <w:rsid w:val="00FE4918"/>
    <w:rsid w:val="00FE4E0C"/>
    <w:rsid w:val="00FE54F1"/>
    <w:rsid w:val="00FE6C35"/>
    <w:rsid w:val="00FF169C"/>
    <w:rsid w:val="00FF35AF"/>
    <w:rsid w:val="00FF4370"/>
    <w:rsid w:val="00FF443E"/>
    <w:rsid w:val="00FF4A86"/>
    <w:rsid w:val="00FF55E8"/>
    <w:rsid w:val="00FF5DBA"/>
    <w:rsid w:val="00FF672A"/>
    <w:rsid w:val="00FF751A"/>
    <w:rsid w:val="00FF7BA0"/>
    <w:rsid w:val="00FF7FC9"/>
    <w:rsid w:val="01DCA81B"/>
    <w:rsid w:val="03476BCE"/>
    <w:rsid w:val="039B1EE3"/>
    <w:rsid w:val="048EF574"/>
    <w:rsid w:val="06240447"/>
    <w:rsid w:val="099C37C1"/>
    <w:rsid w:val="0E6C844F"/>
    <w:rsid w:val="0EEA1ECB"/>
    <w:rsid w:val="1014C504"/>
    <w:rsid w:val="10C3C6B5"/>
    <w:rsid w:val="14F71255"/>
    <w:rsid w:val="14F7B6AC"/>
    <w:rsid w:val="151988C9"/>
    <w:rsid w:val="158E7012"/>
    <w:rsid w:val="16B61CFD"/>
    <w:rsid w:val="172BAF4F"/>
    <w:rsid w:val="17D16A5C"/>
    <w:rsid w:val="1832A2B3"/>
    <w:rsid w:val="18557A3A"/>
    <w:rsid w:val="193C2211"/>
    <w:rsid w:val="19800A32"/>
    <w:rsid w:val="1A4B23D3"/>
    <w:rsid w:val="1C7DE734"/>
    <w:rsid w:val="1C9CA7A1"/>
    <w:rsid w:val="1CA2872F"/>
    <w:rsid w:val="1D2074AC"/>
    <w:rsid w:val="1D63ADF3"/>
    <w:rsid w:val="1D705E91"/>
    <w:rsid w:val="1E7085B0"/>
    <w:rsid w:val="24A067E6"/>
    <w:rsid w:val="25135E06"/>
    <w:rsid w:val="26FB15C2"/>
    <w:rsid w:val="279A07B5"/>
    <w:rsid w:val="28886DE0"/>
    <w:rsid w:val="2A370383"/>
    <w:rsid w:val="2ADCB019"/>
    <w:rsid w:val="2B1EB2D5"/>
    <w:rsid w:val="2CB23CF6"/>
    <w:rsid w:val="2CDAB647"/>
    <w:rsid w:val="2D285655"/>
    <w:rsid w:val="2D504E7A"/>
    <w:rsid w:val="2E39A89D"/>
    <w:rsid w:val="2E434946"/>
    <w:rsid w:val="2E9C40DD"/>
    <w:rsid w:val="33988314"/>
    <w:rsid w:val="3682EB38"/>
    <w:rsid w:val="36AF16D6"/>
    <w:rsid w:val="36F72E78"/>
    <w:rsid w:val="3859968E"/>
    <w:rsid w:val="389A5122"/>
    <w:rsid w:val="39CEEB46"/>
    <w:rsid w:val="3ADA77AD"/>
    <w:rsid w:val="3B5AFA93"/>
    <w:rsid w:val="3B8FF655"/>
    <w:rsid w:val="3C435584"/>
    <w:rsid w:val="3D9DA17E"/>
    <w:rsid w:val="3E1B95FC"/>
    <w:rsid w:val="3F3575FF"/>
    <w:rsid w:val="41193636"/>
    <w:rsid w:val="43A8811A"/>
    <w:rsid w:val="4421C425"/>
    <w:rsid w:val="46F6044F"/>
    <w:rsid w:val="48031785"/>
    <w:rsid w:val="48D8D045"/>
    <w:rsid w:val="49B1C57D"/>
    <w:rsid w:val="49F2994D"/>
    <w:rsid w:val="4BF03148"/>
    <w:rsid w:val="4CBF0434"/>
    <w:rsid w:val="4DD5985D"/>
    <w:rsid w:val="51A387EC"/>
    <w:rsid w:val="51C63074"/>
    <w:rsid w:val="542F9EB4"/>
    <w:rsid w:val="54F8C0BE"/>
    <w:rsid w:val="55B86E0E"/>
    <w:rsid w:val="590AE28A"/>
    <w:rsid w:val="598C8AEB"/>
    <w:rsid w:val="5A07C0F8"/>
    <w:rsid w:val="5B4FF804"/>
    <w:rsid w:val="5BC906F7"/>
    <w:rsid w:val="5F1B97D0"/>
    <w:rsid w:val="600B5A06"/>
    <w:rsid w:val="61D338C3"/>
    <w:rsid w:val="62A21C3B"/>
    <w:rsid w:val="62B3750D"/>
    <w:rsid w:val="63342ACA"/>
    <w:rsid w:val="63875EE2"/>
    <w:rsid w:val="65AE3A03"/>
    <w:rsid w:val="68C001B9"/>
    <w:rsid w:val="6A665B02"/>
    <w:rsid w:val="6CF604BC"/>
    <w:rsid w:val="6D985164"/>
    <w:rsid w:val="6E2F4F59"/>
    <w:rsid w:val="6F57C37F"/>
    <w:rsid w:val="718D2032"/>
    <w:rsid w:val="71F24632"/>
    <w:rsid w:val="7367A4D6"/>
    <w:rsid w:val="73775143"/>
    <w:rsid w:val="73FF738C"/>
    <w:rsid w:val="74A635EF"/>
    <w:rsid w:val="752CF596"/>
    <w:rsid w:val="755BA0D0"/>
    <w:rsid w:val="778BF22F"/>
    <w:rsid w:val="77C457AF"/>
    <w:rsid w:val="7870C874"/>
    <w:rsid w:val="7A20984E"/>
    <w:rsid w:val="7C1B7B0F"/>
    <w:rsid w:val="7C659468"/>
    <w:rsid w:val="7C789924"/>
    <w:rsid w:val="7D0667C0"/>
    <w:rsid w:val="7DCBCB70"/>
    <w:rsid w:val="7E0685C9"/>
    <w:rsid w:val="7F354214"/>
    <w:rsid w:val="7FBBC9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BC8A4"/>
  <w15:docId w15:val="{78DDEE40-8902-416A-852B-BDB3F14B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rutiger 45 Light" w:hAnsi="Frutiger 45 Light"/>
      <w:sz w:val="22"/>
      <w:szCs w:val="22"/>
      <w:lang w:eastAsia="en-US"/>
    </w:rPr>
  </w:style>
  <w:style w:type="paragraph" w:styleId="Heading3">
    <w:name w:val="heading 3"/>
    <w:basedOn w:val="Normal"/>
    <w:next w:val="Normal"/>
    <w:link w:val="Heading3Char"/>
    <w:uiPriority w:val="9"/>
    <w:unhideWhenUsed/>
    <w:qFormat/>
    <w:rsid w:val="0099392E"/>
    <w:pPr>
      <w:keepNext/>
      <w:keepLines/>
      <w:spacing w:before="40"/>
      <w:outlineLvl w:val="2"/>
    </w:pPr>
    <w:rPr>
      <w:rFonts w:ascii="Arial" w:eastAsiaTheme="majorEastAsia" w:hAnsi="Arial"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487760"/>
    <w:pPr>
      <w:spacing w:after="160" w:line="240" w:lineRule="exact"/>
    </w:pPr>
    <w:rPr>
      <w:rFonts w:ascii="Verdana" w:hAnsi="Verdana" w:cs="Verdana"/>
      <w:sz w:val="20"/>
      <w:szCs w:val="20"/>
      <w:lang w:val="en-US"/>
    </w:rPr>
  </w:style>
  <w:style w:type="character" w:styleId="Hyperlink">
    <w:name w:val="Hyperlink"/>
    <w:rsid w:val="003654DF"/>
    <w:rPr>
      <w:color w:val="0000FF"/>
      <w:u w:val="single"/>
    </w:rPr>
  </w:style>
  <w:style w:type="paragraph" w:styleId="FootnoteText">
    <w:name w:val="footnote text"/>
    <w:basedOn w:val="Normal"/>
    <w:link w:val="FootnoteTextChar"/>
    <w:semiHidden/>
    <w:rsid w:val="00001C17"/>
    <w:rPr>
      <w:sz w:val="20"/>
      <w:szCs w:val="20"/>
    </w:rPr>
  </w:style>
  <w:style w:type="character" w:styleId="FootnoteReference">
    <w:name w:val="footnote reference"/>
    <w:semiHidden/>
    <w:rsid w:val="00001C17"/>
    <w:rPr>
      <w:vertAlign w:val="superscript"/>
    </w:rPr>
  </w:style>
  <w:style w:type="paragraph" w:styleId="Header">
    <w:name w:val="header"/>
    <w:basedOn w:val="Normal"/>
    <w:link w:val="HeaderChar"/>
    <w:uiPriority w:val="99"/>
    <w:rsid w:val="002F54E1"/>
    <w:pPr>
      <w:tabs>
        <w:tab w:val="center" w:pos="4320"/>
        <w:tab w:val="right" w:pos="8640"/>
      </w:tabs>
    </w:pPr>
  </w:style>
  <w:style w:type="paragraph" w:styleId="Footer">
    <w:name w:val="footer"/>
    <w:basedOn w:val="Normal"/>
    <w:link w:val="FooterChar"/>
    <w:uiPriority w:val="99"/>
    <w:rsid w:val="002F54E1"/>
    <w:pPr>
      <w:tabs>
        <w:tab w:val="center" w:pos="4320"/>
        <w:tab w:val="right" w:pos="8640"/>
      </w:tabs>
    </w:pPr>
  </w:style>
  <w:style w:type="paragraph" w:customStyle="1" w:styleId="MainText">
    <w:name w:val="Main Text"/>
    <w:basedOn w:val="Normal"/>
    <w:rsid w:val="00F322D8"/>
    <w:pPr>
      <w:spacing w:line="280" w:lineRule="exact"/>
    </w:pPr>
    <w:rPr>
      <w:szCs w:val="20"/>
      <w:lang w:eastAsia="en-GB"/>
    </w:rPr>
  </w:style>
  <w:style w:type="table" w:styleId="TableGrid">
    <w:name w:val="Table Grid"/>
    <w:basedOn w:val="TableNormal"/>
    <w:rsid w:val="00F3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198E"/>
    <w:rPr>
      <w:color w:val="800080"/>
      <w:u w:val="single"/>
    </w:rPr>
  </w:style>
  <w:style w:type="character" w:styleId="Emphasis">
    <w:name w:val="Emphasis"/>
    <w:qFormat/>
    <w:rsid w:val="00AE76A3"/>
    <w:rPr>
      <w:i/>
      <w:iCs/>
    </w:rPr>
  </w:style>
  <w:style w:type="paragraph" w:customStyle="1" w:styleId="Default">
    <w:name w:val="Default"/>
    <w:rsid w:val="00AE76A3"/>
    <w:pPr>
      <w:autoSpaceDE w:val="0"/>
      <w:autoSpaceDN w:val="0"/>
      <w:adjustRightInd w:val="0"/>
    </w:pPr>
    <w:rPr>
      <w:rFonts w:ascii="Arial" w:hAnsi="Arial" w:cs="Arial"/>
      <w:color w:val="000000"/>
      <w:sz w:val="24"/>
      <w:szCs w:val="24"/>
      <w:lang w:val="en-US" w:eastAsia="en-US"/>
    </w:rPr>
  </w:style>
  <w:style w:type="paragraph" w:styleId="ListParagraph">
    <w:name w:val="List Paragraph"/>
    <w:aliases w:val="Dot pt,F5 List Paragraph,Bullet Points,List Paragraph1,Colorful List - Accent 11,No Spacing1,List Paragraph Char Char Char,Indicator Text,Numbered Para 1,Bullet 1,MAIN CONTENT,Normal numbered,List Paragraph12,List Paragraph2,Bullet Style"/>
    <w:basedOn w:val="Normal"/>
    <w:link w:val="ListParagraphChar"/>
    <w:uiPriority w:val="34"/>
    <w:qFormat/>
    <w:rsid w:val="004578A5"/>
    <w:pPr>
      <w:ind w:left="720"/>
    </w:pPr>
  </w:style>
  <w:style w:type="character" w:customStyle="1" w:styleId="HeaderChar">
    <w:name w:val="Header Char"/>
    <w:link w:val="Header"/>
    <w:uiPriority w:val="99"/>
    <w:rsid w:val="007E01EB"/>
    <w:rPr>
      <w:rFonts w:ascii="Frutiger 45 Light" w:hAnsi="Frutiger 45 Light"/>
      <w:sz w:val="22"/>
      <w:szCs w:val="22"/>
      <w:lang w:eastAsia="en-US"/>
    </w:rPr>
  </w:style>
  <w:style w:type="paragraph" w:styleId="BalloonText">
    <w:name w:val="Balloon Text"/>
    <w:basedOn w:val="Normal"/>
    <w:link w:val="BalloonTextChar"/>
    <w:rsid w:val="009E34A3"/>
    <w:rPr>
      <w:rFonts w:ascii="Tahoma" w:hAnsi="Tahoma" w:cs="Tahoma"/>
      <w:sz w:val="16"/>
      <w:szCs w:val="16"/>
    </w:rPr>
  </w:style>
  <w:style w:type="character" w:customStyle="1" w:styleId="BalloonTextChar">
    <w:name w:val="Balloon Text Char"/>
    <w:link w:val="BalloonText"/>
    <w:rsid w:val="009E34A3"/>
    <w:rPr>
      <w:rFonts w:ascii="Tahoma" w:hAnsi="Tahoma" w:cs="Tahoma"/>
      <w:sz w:val="16"/>
      <w:szCs w:val="16"/>
      <w:lang w:eastAsia="en-US"/>
    </w:rPr>
  </w:style>
  <w:style w:type="paragraph" w:customStyle="1" w:styleId="BodyText1">
    <w:name w:val="Body Text 1"/>
    <w:basedOn w:val="Normal"/>
    <w:next w:val="BodyText2"/>
    <w:rsid w:val="0057038C"/>
    <w:rPr>
      <w:rFonts w:ascii="Arial" w:eastAsia="SimSun" w:hAnsi="Arial"/>
      <w:sz w:val="20"/>
      <w:szCs w:val="20"/>
      <w:lang w:eastAsia="zh-CN"/>
    </w:rPr>
  </w:style>
  <w:style w:type="paragraph" w:styleId="BodyText2">
    <w:name w:val="Body Text 2"/>
    <w:basedOn w:val="Normal"/>
    <w:link w:val="BodyText2Char"/>
    <w:rsid w:val="0057038C"/>
    <w:pPr>
      <w:spacing w:after="120" w:line="480" w:lineRule="auto"/>
    </w:pPr>
  </w:style>
  <w:style w:type="character" w:customStyle="1" w:styleId="BodyText2Char">
    <w:name w:val="Body Text 2 Char"/>
    <w:link w:val="BodyText2"/>
    <w:rsid w:val="0057038C"/>
    <w:rPr>
      <w:rFonts w:ascii="Frutiger 45 Light" w:hAnsi="Frutiger 45 Light"/>
      <w:sz w:val="22"/>
      <w:szCs w:val="22"/>
      <w:lang w:eastAsia="en-US"/>
    </w:rPr>
  </w:style>
  <w:style w:type="character" w:styleId="CommentReference">
    <w:name w:val="annotation reference"/>
    <w:rsid w:val="009C0363"/>
    <w:rPr>
      <w:sz w:val="16"/>
      <w:szCs w:val="16"/>
    </w:rPr>
  </w:style>
  <w:style w:type="paragraph" w:styleId="CommentText">
    <w:name w:val="annotation text"/>
    <w:basedOn w:val="Normal"/>
    <w:link w:val="CommentTextChar"/>
    <w:rsid w:val="009C0363"/>
    <w:rPr>
      <w:sz w:val="20"/>
      <w:szCs w:val="20"/>
    </w:rPr>
  </w:style>
  <w:style w:type="character" w:customStyle="1" w:styleId="CommentTextChar">
    <w:name w:val="Comment Text Char"/>
    <w:link w:val="CommentText"/>
    <w:rsid w:val="009C0363"/>
    <w:rPr>
      <w:rFonts w:ascii="Frutiger 45 Light" w:hAnsi="Frutiger 45 Light"/>
      <w:lang w:eastAsia="en-US"/>
    </w:rPr>
  </w:style>
  <w:style w:type="paragraph" w:styleId="CommentSubject">
    <w:name w:val="annotation subject"/>
    <w:basedOn w:val="CommentText"/>
    <w:next w:val="CommentText"/>
    <w:link w:val="CommentSubjectChar"/>
    <w:rsid w:val="009C0363"/>
    <w:rPr>
      <w:b/>
      <w:bCs/>
    </w:rPr>
  </w:style>
  <w:style w:type="character" w:customStyle="1" w:styleId="CommentSubjectChar">
    <w:name w:val="Comment Subject Char"/>
    <w:link w:val="CommentSubject"/>
    <w:rsid w:val="009C0363"/>
    <w:rPr>
      <w:rFonts w:ascii="Frutiger 45 Light" w:hAnsi="Frutiger 45 Light"/>
      <w:b/>
      <w:bCs/>
      <w:lang w:eastAsia="en-US"/>
    </w:rPr>
  </w:style>
  <w:style w:type="paragraph" w:styleId="PlainText">
    <w:name w:val="Plain Text"/>
    <w:basedOn w:val="Normal"/>
    <w:link w:val="PlainTextChar"/>
    <w:uiPriority w:val="99"/>
    <w:rsid w:val="000F5ACE"/>
    <w:rPr>
      <w:rFonts w:ascii="Courier New" w:hAnsi="Courier New" w:cs="Courier New"/>
      <w:sz w:val="20"/>
      <w:szCs w:val="20"/>
    </w:rPr>
  </w:style>
  <w:style w:type="character" w:customStyle="1" w:styleId="PlainTextChar">
    <w:name w:val="Plain Text Char"/>
    <w:link w:val="PlainText"/>
    <w:uiPriority w:val="99"/>
    <w:rsid w:val="000F5ACE"/>
    <w:rPr>
      <w:rFonts w:ascii="Courier New" w:hAnsi="Courier New" w:cs="Courier New"/>
      <w:lang w:eastAsia="en-US"/>
    </w:rPr>
  </w:style>
  <w:style w:type="table" w:customStyle="1" w:styleId="TableGrid1">
    <w:name w:val="Table Grid1"/>
    <w:basedOn w:val="TableNormal"/>
    <w:next w:val="TableGrid"/>
    <w:rsid w:val="00E0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45CAD"/>
    <w:rPr>
      <w:rFonts w:ascii="Times New Roman" w:hAnsi="Times New Roman"/>
      <w:sz w:val="24"/>
      <w:szCs w:val="24"/>
      <w:lang w:eastAsia="en-GB"/>
    </w:rPr>
  </w:style>
  <w:style w:type="character" w:customStyle="1" w:styleId="normaltextrun1">
    <w:name w:val="normaltextrun1"/>
    <w:rsid w:val="00F45CAD"/>
  </w:style>
  <w:style w:type="character" w:customStyle="1" w:styleId="ListParagraphChar">
    <w:name w:val="List Paragraph Char"/>
    <w:aliases w:val="Dot pt Char,F5 List Paragraph Char,Bullet Points Char,List Paragraph1 Char,Colorful List - Accent 11 Char,No Spacing1 Char,List Paragraph Char Char Char Char,Indicator Text Char,Numbered Para 1 Char,Bullet 1 Char,MAIN CONTENT Char"/>
    <w:basedOn w:val="DefaultParagraphFont"/>
    <w:link w:val="ListParagraph"/>
    <w:uiPriority w:val="34"/>
    <w:rsid w:val="007C0734"/>
    <w:rPr>
      <w:rFonts w:ascii="Frutiger 45 Light" w:hAnsi="Frutiger 45 Light"/>
      <w:sz w:val="22"/>
      <w:szCs w:val="22"/>
      <w:lang w:eastAsia="en-US"/>
    </w:rPr>
  </w:style>
  <w:style w:type="character" w:customStyle="1" w:styleId="ReportTemplate">
    <w:name w:val="Report Template"/>
    <w:uiPriority w:val="1"/>
    <w:qFormat/>
    <w:rsid w:val="002C1EF2"/>
  </w:style>
  <w:style w:type="paragraph" w:styleId="NormalWeb">
    <w:name w:val="Normal (Web)"/>
    <w:basedOn w:val="Normal"/>
    <w:uiPriority w:val="99"/>
    <w:semiHidden/>
    <w:unhideWhenUsed/>
    <w:rsid w:val="003E0D24"/>
    <w:pPr>
      <w:spacing w:before="100" w:beforeAutospacing="1" w:after="100" w:afterAutospacing="1"/>
    </w:pPr>
    <w:rPr>
      <w:rFonts w:ascii="Times New Roman" w:eastAsia="Calibri" w:hAnsi="Times New Roman"/>
      <w:sz w:val="24"/>
      <w:szCs w:val="24"/>
      <w:lang w:eastAsia="en-GB"/>
    </w:rPr>
  </w:style>
  <w:style w:type="character" w:customStyle="1" w:styleId="FootnoteTextChar">
    <w:name w:val="Footnote Text Char"/>
    <w:basedOn w:val="DefaultParagraphFont"/>
    <w:link w:val="FootnoteText"/>
    <w:semiHidden/>
    <w:rsid w:val="000454AB"/>
    <w:rPr>
      <w:rFonts w:ascii="Frutiger 45 Light" w:hAnsi="Frutiger 45 Light"/>
      <w:lang w:eastAsia="en-US"/>
    </w:rPr>
  </w:style>
  <w:style w:type="character" w:styleId="UnresolvedMention">
    <w:name w:val="Unresolved Mention"/>
    <w:basedOn w:val="DefaultParagraphFont"/>
    <w:uiPriority w:val="99"/>
    <w:semiHidden/>
    <w:unhideWhenUsed/>
    <w:rsid w:val="00CE4D28"/>
    <w:rPr>
      <w:color w:val="605E5C"/>
      <w:shd w:val="clear" w:color="auto" w:fill="E1DFDD"/>
    </w:rPr>
  </w:style>
  <w:style w:type="character" w:customStyle="1" w:styleId="FooterChar">
    <w:name w:val="Footer Char"/>
    <w:basedOn w:val="DefaultParagraphFont"/>
    <w:link w:val="Footer"/>
    <w:uiPriority w:val="99"/>
    <w:rsid w:val="0013752C"/>
    <w:rPr>
      <w:rFonts w:ascii="Frutiger 45 Light" w:hAnsi="Frutiger 45 Light"/>
      <w:sz w:val="22"/>
      <w:szCs w:val="22"/>
      <w:lang w:eastAsia="en-US"/>
    </w:rPr>
  </w:style>
  <w:style w:type="character" w:customStyle="1" w:styleId="legamendingtext">
    <w:name w:val="legamendingtext"/>
    <w:basedOn w:val="DefaultParagraphFont"/>
    <w:rsid w:val="00F85FCB"/>
  </w:style>
  <w:style w:type="character" w:customStyle="1" w:styleId="Heading3Char">
    <w:name w:val="Heading 3 Char"/>
    <w:basedOn w:val="DefaultParagraphFont"/>
    <w:link w:val="Heading3"/>
    <w:uiPriority w:val="9"/>
    <w:rsid w:val="0099392E"/>
    <w:rPr>
      <w:rFonts w:ascii="Arial" w:eastAsiaTheme="majorEastAsia" w:hAnsi="Arial" w:cstheme="majorBidi"/>
      <w:sz w:val="24"/>
      <w:szCs w:val="24"/>
      <w:lang w:eastAsia="en-US"/>
    </w:rPr>
  </w:style>
  <w:style w:type="character" w:styleId="Strong">
    <w:name w:val="Strong"/>
    <w:basedOn w:val="DefaultParagraphFont"/>
    <w:uiPriority w:val="22"/>
    <w:qFormat/>
    <w:rsid w:val="0099392E"/>
    <w:rPr>
      <w:b/>
      <w:bCs/>
    </w:rPr>
  </w:style>
  <w:style w:type="paragraph" w:customStyle="1" w:styleId="Bodycopy">
    <w:name w:val="Body copy"/>
    <w:basedOn w:val="Normal"/>
    <w:link w:val="BodycopyChar"/>
    <w:autoRedefine/>
    <w:qFormat/>
    <w:rsid w:val="00604AC4"/>
    <w:pPr>
      <w:widowControl w:val="0"/>
      <w:numPr>
        <w:numId w:val="32"/>
      </w:numPr>
      <w:spacing w:after="240"/>
    </w:pPr>
    <w:rPr>
      <w:rFonts w:ascii="Arial" w:eastAsia="Calibri" w:hAnsi="Arial"/>
      <w:bCs/>
      <w:sz w:val="24"/>
      <w:lang w:val="en-US"/>
    </w:rPr>
  </w:style>
  <w:style w:type="character" w:customStyle="1" w:styleId="BodycopyChar">
    <w:name w:val="Body copy Char"/>
    <w:basedOn w:val="DefaultParagraphFont"/>
    <w:link w:val="Bodycopy"/>
    <w:rsid w:val="00604AC4"/>
    <w:rPr>
      <w:rFonts w:ascii="Arial" w:eastAsia="Calibri" w:hAnsi="Arial"/>
      <w:bCs/>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9197">
      <w:bodyDiv w:val="1"/>
      <w:marLeft w:val="0"/>
      <w:marRight w:val="0"/>
      <w:marTop w:val="0"/>
      <w:marBottom w:val="0"/>
      <w:divBdr>
        <w:top w:val="none" w:sz="0" w:space="0" w:color="auto"/>
        <w:left w:val="none" w:sz="0" w:space="0" w:color="auto"/>
        <w:bottom w:val="none" w:sz="0" w:space="0" w:color="auto"/>
        <w:right w:val="none" w:sz="0" w:space="0" w:color="auto"/>
      </w:divBdr>
    </w:div>
    <w:div w:id="48190002">
      <w:bodyDiv w:val="1"/>
      <w:marLeft w:val="0"/>
      <w:marRight w:val="0"/>
      <w:marTop w:val="0"/>
      <w:marBottom w:val="0"/>
      <w:divBdr>
        <w:top w:val="none" w:sz="0" w:space="0" w:color="auto"/>
        <w:left w:val="none" w:sz="0" w:space="0" w:color="auto"/>
        <w:bottom w:val="none" w:sz="0" w:space="0" w:color="auto"/>
        <w:right w:val="none" w:sz="0" w:space="0" w:color="auto"/>
      </w:divBdr>
    </w:div>
    <w:div w:id="131213573">
      <w:bodyDiv w:val="1"/>
      <w:marLeft w:val="0"/>
      <w:marRight w:val="0"/>
      <w:marTop w:val="0"/>
      <w:marBottom w:val="0"/>
      <w:divBdr>
        <w:top w:val="none" w:sz="0" w:space="0" w:color="auto"/>
        <w:left w:val="none" w:sz="0" w:space="0" w:color="auto"/>
        <w:bottom w:val="none" w:sz="0" w:space="0" w:color="auto"/>
        <w:right w:val="none" w:sz="0" w:space="0" w:color="auto"/>
      </w:divBdr>
    </w:div>
    <w:div w:id="195428603">
      <w:bodyDiv w:val="1"/>
      <w:marLeft w:val="0"/>
      <w:marRight w:val="0"/>
      <w:marTop w:val="0"/>
      <w:marBottom w:val="0"/>
      <w:divBdr>
        <w:top w:val="none" w:sz="0" w:space="0" w:color="auto"/>
        <w:left w:val="none" w:sz="0" w:space="0" w:color="auto"/>
        <w:bottom w:val="none" w:sz="0" w:space="0" w:color="auto"/>
        <w:right w:val="none" w:sz="0" w:space="0" w:color="auto"/>
      </w:divBdr>
    </w:div>
    <w:div w:id="417023410">
      <w:bodyDiv w:val="1"/>
      <w:marLeft w:val="0"/>
      <w:marRight w:val="0"/>
      <w:marTop w:val="0"/>
      <w:marBottom w:val="0"/>
      <w:divBdr>
        <w:top w:val="none" w:sz="0" w:space="0" w:color="auto"/>
        <w:left w:val="none" w:sz="0" w:space="0" w:color="auto"/>
        <w:bottom w:val="none" w:sz="0" w:space="0" w:color="auto"/>
        <w:right w:val="none" w:sz="0" w:space="0" w:color="auto"/>
      </w:divBdr>
    </w:div>
    <w:div w:id="439372745">
      <w:bodyDiv w:val="1"/>
      <w:marLeft w:val="0"/>
      <w:marRight w:val="0"/>
      <w:marTop w:val="0"/>
      <w:marBottom w:val="0"/>
      <w:divBdr>
        <w:top w:val="none" w:sz="0" w:space="0" w:color="auto"/>
        <w:left w:val="none" w:sz="0" w:space="0" w:color="auto"/>
        <w:bottom w:val="none" w:sz="0" w:space="0" w:color="auto"/>
        <w:right w:val="none" w:sz="0" w:space="0" w:color="auto"/>
      </w:divBdr>
    </w:div>
    <w:div w:id="469633137">
      <w:bodyDiv w:val="1"/>
      <w:marLeft w:val="0"/>
      <w:marRight w:val="0"/>
      <w:marTop w:val="0"/>
      <w:marBottom w:val="0"/>
      <w:divBdr>
        <w:top w:val="none" w:sz="0" w:space="0" w:color="auto"/>
        <w:left w:val="none" w:sz="0" w:space="0" w:color="auto"/>
        <w:bottom w:val="none" w:sz="0" w:space="0" w:color="auto"/>
        <w:right w:val="none" w:sz="0" w:space="0" w:color="auto"/>
      </w:divBdr>
    </w:div>
    <w:div w:id="496307055">
      <w:bodyDiv w:val="1"/>
      <w:marLeft w:val="0"/>
      <w:marRight w:val="0"/>
      <w:marTop w:val="0"/>
      <w:marBottom w:val="0"/>
      <w:divBdr>
        <w:top w:val="none" w:sz="0" w:space="0" w:color="auto"/>
        <w:left w:val="none" w:sz="0" w:space="0" w:color="auto"/>
        <w:bottom w:val="none" w:sz="0" w:space="0" w:color="auto"/>
        <w:right w:val="none" w:sz="0" w:space="0" w:color="auto"/>
      </w:divBdr>
    </w:div>
    <w:div w:id="497035525">
      <w:bodyDiv w:val="1"/>
      <w:marLeft w:val="0"/>
      <w:marRight w:val="0"/>
      <w:marTop w:val="0"/>
      <w:marBottom w:val="0"/>
      <w:divBdr>
        <w:top w:val="none" w:sz="0" w:space="0" w:color="auto"/>
        <w:left w:val="none" w:sz="0" w:space="0" w:color="auto"/>
        <w:bottom w:val="none" w:sz="0" w:space="0" w:color="auto"/>
        <w:right w:val="none" w:sz="0" w:space="0" w:color="auto"/>
      </w:divBdr>
      <w:divsChild>
        <w:div w:id="1038430843">
          <w:marLeft w:val="0"/>
          <w:marRight w:val="0"/>
          <w:marTop w:val="300"/>
          <w:marBottom w:val="0"/>
          <w:divBdr>
            <w:top w:val="none" w:sz="0" w:space="0" w:color="auto"/>
            <w:left w:val="none" w:sz="0" w:space="0" w:color="auto"/>
            <w:bottom w:val="none" w:sz="0" w:space="0" w:color="auto"/>
            <w:right w:val="none" w:sz="0" w:space="0" w:color="auto"/>
          </w:divBdr>
          <w:divsChild>
            <w:div w:id="32079869">
              <w:marLeft w:val="0"/>
              <w:marRight w:val="0"/>
              <w:marTop w:val="0"/>
              <w:marBottom w:val="0"/>
              <w:divBdr>
                <w:top w:val="none" w:sz="0" w:space="0" w:color="auto"/>
                <w:left w:val="none" w:sz="0" w:space="0" w:color="auto"/>
                <w:bottom w:val="none" w:sz="0" w:space="0" w:color="auto"/>
                <w:right w:val="none" w:sz="0" w:space="0" w:color="auto"/>
              </w:divBdr>
              <w:divsChild>
                <w:div w:id="1032271686">
                  <w:marLeft w:val="0"/>
                  <w:marRight w:val="-3600"/>
                  <w:marTop w:val="0"/>
                  <w:marBottom w:val="0"/>
                  <w:divBdr>
                    <w:top w:val="none" w:sz="0" w:space="0" w:color="auto"/>
                    <w:left w:val="none" w:sz="0" w:space="0" w:color="auto"/>
                    <w:bottom w:val="none" w:sz="0" w:space="0" w:color="auto"/>
                    <w:right w:val="none" w:sz="0" w:space="0" w:color="auto"/>
                  </w:divBdr>
                  <w:divsChild>
                    <w:div w:id="2113359869">
                      <w:marLeft w:val="300"/>
                      <w:marRight w:val="4200"/>
                      <w:marTop w:val="0"/>
                      <w:marBottom w:val="300"/>
                      <w:divBdr>
                        <w:top w:val="none" w:sz="0" w:space="0" w:color="auto"/>
                        <w:left w:val="none" w:sz="0" w:space="0" w:color="auto"/>
                        <w:bottom w:val="none" w:sz="0" w:space="0" w:color="auto"/>
                        <w:right w:val="none" w:sz="0" w:space="0" w:color="auto"/>
                      </w:divBdr>
                      <w:divsChild>
                        <w:div w:id="91556154">
                          <w:marLeft w:val="0"/>
                          <w:marRight w:val="0"/>
                          <w:marTop w:val="0"/>
                          <w:marBottom w:val="0"/>
                          <w:divBdr>
                            <w:top w:val="none" w:sz="0" w:space="0" w:color="auto"/>
                            <w:left w:val="none" w:sz="0" w:space="0" w:color="auto"/>
                            <w:bottom w:val="none" w:sz="0" w:space="0" w:color="auto"/>
                            <w:right w:val="none" w:sz="0" w:space="0" w:color="auto"/>
                          </w:divBdr>
                          <w:divsChild>
                            <w:div w:id="454956894">
                              <w:marLeft w:val="0"/>
                              <w:marRight w:val="0"/>
                              <w:marTop w:val="0"/>
                              <w:marBottom w:val="0"/>
                              <w:divBdr>
                                <w:top w:val="none" w:sz="0" w:space="0" w:color="auto"/>
                                <w:left w:val="none" w:sz="0" w:space="0" w:color="auto"/>
                                <w:bottom w:val="none" w:sz="0" w:space="0" w:color="auto"/>
                                <w:right w:val="none" w:sz="0" w:space="0" w:color="auto"/>
                              </w:divBdr>
                              <w:divsChild>
                                <w:div w:id="16207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743849">
      <w:bodyDiv w:val="1"/>
      <w:marLeft w:val="0"/>
      <w:marRight w:val="0"/>
      <w:marTop w:val="0"/>
      <w:marBottom w:val="0"/>
      <w:divBdr>
        <w:top w:val="none" w:sz="0" w:space="0" w:color="auto"/>
        <w:left w:val="none" w:sz="0" w:space="0" w:color="auto"/>
        <w:bottom w:val="none" w:sz="0" w:space="0" w:color="auto"/>
        <w:right w:val="none" w:sz="0" w:space="0" w:color="auto"/>
      </w:divBdr>
    </w:div>
    <w:div w:id="586616575">
      <w:bodyDiv w:val="1"/>
      <w:marLeft w:val="0"/>
      <w:marRight w:val="0"/>
      <w:marTop w:val="0"/>
      <w:marBottom w:val="0"/>
      <w:divBdr>
        <w:top w:val="none" w:sz="0" w:space="0" w:color="auto"/>
        <w:left w:val="none" w:sz="0" w:space="0" w:color="auto"/>
        <w:bottom w:val="none" w:sz="0" w:space="0" w:color="auto"/>
        <w:right w:val="none" w:sz="0" w:space="0" w:color="auto"/>
      </w:divBdr>
    </w:div>
    <w:div w:id="753860767">
      <w:bodyDiv w:val="1"/>
      <w:marLeft w:val="0"/>
      <w:marRight w:val="0"/>
      <w:marTop w:val="0"/>
      <w:marBottom w:val="0"/>
      <w:divBdr>
        <w:top w:val="none" w:sz="0" w:space="0" w:color="auto"/>
        <w:left w:val="none" w:sz="0" w:space="0" w:color="auto"/>
        <w:bottom w:val="none" w:sz="0" w:space="0" w:color="auto"/>
        <w:right w:val="none" w:sz="0" w:space="0" w:color="auto"/>
      </w:divBdr>
    </w:div>
    <w:div w:id="846749601">
      <w:bodyDiv w:val="1"/>
      <w:marLeft w:val="0"/>
      <w:marRight w:val="0"/>
      <w:marTop w:val="0"/>
      <w:marBottom w:val="0"/>
      <w:divBdr>
        <w:top w:val="none" w:sz="0" w:space="0" w:color="auto"/>
        <w:left w:val="none" w:sz="0" w:space="0" w:color="auto"/>
        <w:bottom w:val="none" w:sz="0" w:space="0" w:color="auto"/>
        <w:right w:val="none" w:sz="0" w:space="0" w:color="auto"/>
      </w:divBdr>
    </w:div>
    <w:div w:id="852257374">
      <w:bodyDiv w:val="1"/>
      <w:marLeft w:val="0"/>
      <w:marRight w:val="0"/>
      <w:marTop w:val="0"/>
      <w:marBottom w:val="0"/>
      <w:divBdr>
        <w:top w:val="none" w:sz="0" w:space="0" w:color="auto"/>
        <w:left w:val="none" w:sz="0" w:space="0" w:color="auto"/>
        <w:bottom w:val="none" w:sz="0" w:space="0" w:color="auto"/>
        <w:right w:val="none" w:sz="0" w:space="0" w:color="auto"/>
      </w:divBdr>
    </w:div>
    <w:div w:id="1073426868">
      <w:bodyDiv w:val="1"/>
      <w:marLeft w:val="0"/>
      <w:marRight w:val="0"/>
      <w:marTop w:val="0"/>
      <w:marBottom w:val="0"/>
      <w:divBdr>
        <w:top w:val="none" w:sz="0" w:space="0" w:color="auto"/>
        <w:left w:val="none" w:sz="0" w:space="0" w:color="auto"/>
        <w:bottom w:val="none" w:sz="0" w:space="0" w:color="auto"/>
        <w:right w:val="none" w:sz="0" w:space="0" w:color="auto"/>
      </w:divBdr>
    </w:div>
    <w:div w:id="1112940504">
      <w:bodyDiv w:val="1"/>
      <w:marLeft w:val="0"/>
      <w:marRight w:val="0"/>
      <w:marTop w:val="0"/>
      <w:marBottom w:val="0"/>
      <w:divBdr>
        <w:top w:val="none" w:sz="0" w:space="0" w:color="auto"/>
        <w:left w:val="none" w:sz="0" w:space="0" w:color="auto"/>
        <w:bottom w:val="none" w:sz="0" w:space="0" w:color="auto"/>
        <w:right w:val="none" w:sz="0" w:space="0" w:color="auto"/>
      </w:divBdr>
    </w:div>
    <w:div w:id="1196430037">
      <w:bodyDiv w:val="1"/>
      <w:marLeft w:val="0"/>
      <w:marRight w:val="0"/>
      <w:marTop w:val="0"/>
      <w:marBottom w:val="0"/>
      <w:divBdr>
        <w:top w:val="none" w:sz="0" w:space="0" w:color="auto"/>
        <w:left w:val="none" w:sz="0" w:space="0" w:color="auto"/>
        <w:bottom w:val="none" w:sz="0" w:space="0" w:color="auto"/>
        <w:right w:val="none" w:sz="0" w:space="0" w:color="auto"/>
      </w:divBdr>
    </w:div>
    <w:div w:id="1361856286">
      <w:bodyDiv w:val="1"/>
      <w:marLeft w:val="0"/>
      <w:marRight w:val="0"/>
      <w:marTop w:val="0"/>
      <w:marBottom w:val="0"/>
      <w:divBdr>
        <w:top w:val="none" w:sz="0" w:space="0" w:color="auto"/>
        <w:left w:val="none" w:sz="0" w:space="0" w:color="auto"/>
        <w:bottom w:val="none" w:sz="0" w:space="0" w:color="auto"/>
        <w:right w:val="none" w:sz="0" w:space="0" w:color="auto"/>
      </w:divBdr>
    </w:div>
    <w:div w:id="1381369213">
      <w:bodyDiv w:val="1"/>
      <w:marLeft w:val="0"/>
      <w:marRight w:val="0"/>
      <w:marTop w:val="0"/>
      <w:marBottom w:val="0"/>
      <w:divBdr>
        <w:top w:val="none" w:sz="0" w:space="0" w:color="auto"/>
        <w:left w:val="none" w:sz="0" w:space="0" w:color="auto"/>
        <w:bottom w:val="none" w:sz="0" w:space="0" w:color="auto"/>
        <w:right w:val="none" w:sz="0" w:space="0" w:color="auto"/>
      </w:divBdr>
    </w:div>
    <w:div w:id="1462186321">
      <w:bodyDiv w:val="1"/>
      <w:marLeft w:val="0"/>
      <w:marRight w:val="0"/>
      <w:marTop w:val="0"/>
      <w:marBottom w:val="0"/>
      <w:divBdr>
        <w:top w:val="none" w:sz="0" w:space="0" w:color="auto"/>
        <w:left w:val="none" w:sz="0" w:space="0" w:color="auto"/>
        <w:bottom w:val="none" w:sz="0" w:space="0" w:color="auto"/>
        <w:right w:val="none" w:sz="0" w:space="0" w:color="auto"/>
      </w:divBdr>
      <w:divsChild>
        <w:div w:id="1277058494">
          <w:marLeft w:val="0"/>
          <w:marRight w:val="0"/>
          <w:marTop w:val="0"/>
          <w:marBottom w:val="0"/>
          <w:divBdr>
            <w:top w:val="none" w:sz="0" w:space="0" w:color="auto"/>
            <w:left w:val="none" w:sz="0" w:space="0" w:color="auto"/>
            <w:bottom w:val="none" w:sz="0" w:space="0" w:color="auto"/>
            <w:right w:val="none" w:sz="0" w:space="0" w:color="auto"/>
          </w:divBdr>
          <w:divsChild>
            <w:div w:id="1401831167">
              <w:marLeft w:val="0"/>
              <w:marRight w:val="0"/>
              <w:marTop w:val="0"/>
              <w:marBottom w:val="0"/>
              <w:divBdr>
                <w:top w:val="none" w:sz="0" w:space="0" w:color="auto"/>
                <w:left w:val="none" w:sz="0" w:space="0" w:color="auto"/>
                <w:bottom w:val="none" w:sz="0" w:space="0" w:color="auto"/>
                <w:right w:val="none" w:sz="0" w:space="0" w:color="auto"/>
              </w:divBdr>
              <w:divsChild>
                <w:div w:id="1016879709">
                  <w:marLeft w:val="0"/>
                  <w:marRight w:val="0"/>
                  <w:marTop w:val="0"/>
                  <w:marBottom w:val="0"/>
                  <w:divBdr>
                    <w:top w:val="none" w:sz="0" w:space="0" w:color="auto"/>
                    <w:left w:val="none" w:sz="0" w:space="0" w:color="auto"/>
                    <w:bottom w:val="none" w:sz="0" w:space="0" w:color="auto"/>
                    <w:right w:val="none" w:sz="0" w:space="0" w:color="auto"/>
                  </w:divBdr>
                  <w:divsChild>
                    <w:div w:id="1202831">
                      <w:marLeft w:val="0"/>
                      <w:marRight w:val="0"/>
                      <w:marTop w:val="0"/>
                      <w:marBottom w:val="0"/>
                      <w:divBdr>
                        <w:top w:val="none" w:sz="0" w:space="0" w:color="auto"/>
                        <w:left w:val="none" w:sz="0" w:space="0" w:color="auto"/>
                        <w:bottom w:val="none" w:sz="0" w:space="0" w:color="auto"/>
                        <w:right w:val="none" w:sz="0" w:space="0" w:color="auto"/>
                      </w:divBdr>
                      <w:divsChild>
                        <w:div w:id="1201938044">
                          <w:marLeft w:val="0"/>
                          <w:marRight w:val="0"/>
                          <w:marTop w:val="0"/>
                          <w:marBottom w:val="0"/>
                          <w:divBdr>
                            <w:top w:val="none" w:sz="0" w:space="0" w:color="auto"/>
                            <w:left w:val="none" w:sz="0" w:space="0" w:color="auto"/>
                            <w:bottom w:val="none" w:sz="0" w:space="0" w:color="auto"/>
                            <w:right w:val="none" w:sz="0" w:space="0" w:color="auto"/>
                          </w:divBdr>
                          <w:divsChild>
                            <w:div w:id="1202354086">
                              <w:marLeft w:val="0"/>
                              <w:marRight w:val="0"/>
                              <w:marTop w:val="0"/>
                              <w:marBottom w:val="0"/>
                              <w:divBdr>
                                <w:top w:val="none" w:sz="0" w:space="0" w:color="auto"/>
                                <w:left w:val="none" w:sz="0" w:space="0" w:color="auto"/>
                                <w:bottom w:val="none" w:sz="0" w:space="0" w:color="auto"/>
                                <w:right w:val="none" w:sz="0" w:space="0" w:color="auto"/>
                              </w:divBdr>
                              <w:divsChild>
                                <w:div w:id="1707221613">
                                  <w:marLeft w:val="0"/>
                                  <w:marRight w:val="0"/>
                                  <w:marTop w:val="0"/>
                                  <w:marBottom w:val="0"/>
                                  <w:divBdr>
                                    <w:top w:val="none" w:sz="0" w:space="0" w:color="auto"/>
                                    <w:left w:val="none" w:sz="0" w:space="0" w:color="auto"/>
                                    <w:bottom w:val="none" w:sz="0" w:space="0" w:color="auto"/>
                                    <w:right w:val="none" w:sz="0" w:space="0" w:color="auto"/>
                                  </w:divBdr>
                                  <w:divsChild>
                                    <w:div w:id="385839986">
                                      <w:marLeft w:val="0"/>
                                      <w:marRight w:val="0"/>
                                      <w:marTop w:val="0"/>
                                      <w:marBottom w:val="0"/>
                                      <w:divBdr>
                                        <w:top w:val="none" w:sz="0" w:space="0" w:color="auto"/>
                                        <w:left w:val="none" w:sz="0" w:space="0" w:color="auto"/>
                                        <w:bottom w:val="none" w:sz="0" w:space="0" w:color="auto"/>
                                        <w:right w:val="none" w:sz="0" w:space="0" w:color="auto"/>
                                      </w:divBdr>
                                    </w:div>
                                    <w:div w:id="397677228">
                                      <w:marLeft w:val="0"/>
                                      <w:marRight w:val="0"/>
                                      <w:marTop w:val="0"/>
                                      <w:marBottom w:val="0"/>
                                      <w:divBdr>
                                        <w:top w:val="none" w:sz="0" w:space="0" w:color="auto"/>
                                        <w:left w:val="none" w:sz="0" w:space="0" w:color="auto"/>
                                        <w:bottom w:val="none" w:sz="0" w:space="0" w:color="auto"/>
                                        <w:right w:val="none" w:sz="0" w:space="0" w:color="auto"/>
                                      </w:divBdr>
                                    </w:div>
                                    <w:div w:id="901525718">
                                      <w:marLeft w:val="0"/>
                                      <w:marRight w:val="0"/>
                                      <w:marTop w:val="0"/>
                                      <w:marBottom w:val="0"/>
                                      <w:divBdr>
                                        <w:top w:val="none" w:sz="0" w:space="0" w:color="auto"/>
                                        <w:left w:val="none" w:sz="0" w:space="0" w:color="auto"/>
                                        <w:bottom w:val="none" w:sz="0" w:space="0" w:color="auto"/>
                                        <w:right w:val="none" w:sz="0" w:space="0" w:color="auto"/>
                                      </w:divBdr>
                                    </w:div>
                                    <w:div w:id="1182276881">
                                      <w:marLeft w:val="0"/>
                                      <w:marRight w:val="0"/>
                                      <w:marTop w:val="0"/>
                                      <w:marBottom w:val="0"/>
                                      <w:divBdr>
                                        <w:top w:val="none" w:sz="0" w:space="0" w:color="auto"/>
                                        <w:left w:val="none" w:sz="0" w:space="0" w:color="auto"/>
                                        <w:bottom w:val="none" w:sz="0" w:space="0" w:color="auto"/>
                                        <w:right w:val="none" w:sz="0" w:space="0" w:color="auto"/>
                                      </w:divBdr>
                                    </w:div>
                                    <w:div w:id="1853259126">
                                      <w:marLeft w:val="0"/>
                                      <w:marRight w:val="0"/>
                                      <w:marTop w:val="0"/>
                                      <w:marBottom w:val="0"/>
                                      <w:divBdr>
                                        <w:top w:val="none" w:sz="0" w:space="0" w:color="auto"/>
                                        <w:left w:val="none" w:sz="0" w:space="0" w:color="auto"/>
                                        <w:bottom w:val="none" w:sz="0" w:space="0" w:color="auto"/>
                                        <w:right w:val="none" w:sz="0" w:space="0" w:color="auto"/>
                                      </w:divBdr>
                                    </w:div>
                                    <w:div w:id="2008170433">
                                      <w:marLeft w:val="0"/>
                                      <w:marRight w:val="0"/>
                                      <w:marTop w:val="0"/>
                                      <w:marBottom w:val="0"/>
                                      <w:divBdr>
                                        <w:top w:val="none" w:sz="0" w:space="0" w:color="auto"/>
                                        <w:left w:val="none" w:sz="0" w:space="0" w:color="auto"/>
                                        <w:bottom w:val="none" w:sz="0" w:space="0" w:color="auto"/>
                                        <w:right w:val="none" w:sz="0" w:space="0" w:color="auto"/>
                                      </w:divBdr>
                                    </w:div>
                                    <w:div w:id="20436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529754">
      <w:bodyDiv w:val="1"/>
      <w:marLeft w:val="0"/>
      <w:marRight w:val="0"/>
      <w:marTop w:val="0"/>
      <w:marBottom w:val="0"/>
      <w:divBdr>
        <w:top w:val="none" w:sz="0" w:space="0" w:color="auto"/>
        <w:left w:val="none" w:sz="0" w:space="0" w:color="auto"/>
        <w:bottom w:val="none" w:sz="0" w:space="0" w:color="auto"/>
        <w:right w:val="none" w:sz="0" w:space="0" w:color="auto"/>
      </w:divBdr>
    </w:div>
    <w:div w:id="1724406260">
      <w:bodyDiv w:val="1"/>
      <w:marLeft w:val="0"/>
      <w:marRight w:val="0"/>
      <w:marTop w:val="0"/>
      <w:marBottom w:val="0"/>
      <w:divBdr>
        <w:top w:val="none" w:sz="0" w:space="0" w:color="auto"/>
        <w:left w:val="none" w:sz="0" w:space="0" w:color="auto"/>
        <w:bottom w:val="none" w:sz="0" w:space="0" w:color="auto"/>
        <w:right w:val="none" w:sz="0" w:space="0" w:color="auto"/>
      </w:divBdr>
    </w:div>
    <w:div w:id="1793209998">
      <w:bodyDiv w:val="1"/>
      <w:marLeft w:val="0"/>
      <w:marRight w:val="0"/>
      <w:marTop w:val="0"/>
      <w:marBottom w:val="0"/>
      <w:divBdr>
        <w:top w:val="none" w:sz="0" w:space="0" w:color="auto"/>
        <w:left w:val="none" w:sz="0" w:space="0" w:color="auto"/>
        <w:bottom w:val="none" w:sz="0" w:space="0" w:color="auto"/>
        <w:right w:val="none" w:sz="0" w:space="0" w:color="auto"/>
      </w:divBdr>
    </w:div>
    <w:div w:id="1935044405">
      <w:bodyDiv w:val="1"/>
      <w:marLeft w:val="0"/>
      <w:marRight w:val="0"/>
      <w:marTop w:val="0"/>
      <w:marBottom w:val="0"/>
      <w:divBdr>
        <w:top w:val="none" w:sz="0" w:space="0" w:color="auto"/>
        <w:left w:val="none" w:sz="0" w:space="0" w:color="auto"/>
        <w:bottom w:val="none" w:sz="0" w:space="0" w:color="auto"/>
        <w:right w:val="none" w:sz="0" w:space="0" w:color="auto"/>
      </w:divBdr>
    </w:div>
    <w:div w:id="2120837123">
      <w:bodyDiv w:val="1"/>
      <w:marLeft w:val="0"/>
      <w:marRight w:val="0"/>
      <w:marTop w:val="0"/>
      <w:marBottom w:val="0"/>
      <w:divBdr>
        <w:top w:val="none" w:sz="0" w:space="0" w:color="auto"/>
        <w:left w:val="none" w:sz="0" w:space="0" w:color="auto"/>
        <w:bottom w:val="none" w:sz="0" w:space="0" w:color="auto"/>
        <w:right w:val="none" w:sz="0" w:space="0" w:color="auto"/>
      </w:divBdr>
    </w:div>
    <w:div w:id="212730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psregs.org/images/Consultations/HMT-Public-Service-Pensions-consultation-LGA-response-9-October-2020.pdf" TargetMode="External"/><Relationship Id="rId18" Type="http://schemas.openxmlformats.org/officeDocument/2006/relationships/hyperlink" Target="https://www.fpsregs.org/images/Age-discrimination/Home-Office-public-service-pension-schemes-consultation-response-Fire-FAQs-4-February-2021.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ocal.gov.uk/sites/default/files/documents/EMP%208%2019%20-%20FPS%202015%20CMPH%20-%20Final.pdf" TargetMode="External"/><Relationship Id="rId7" Type="http://schemas.openxmlformats.org/officeDocument/2006/relationships/settings" Target="settings.xml"/><Relationship Id="rId12" Type="http://schemas.openxmlformats.org/officeDocument/2006/relationships/hyperlink" Target="https://www.fpsregs.org/index.php/age-discrimination-remedy/implementation" TargetMode="External"/><Relationship Id="rId17" Type="http://schemas.openxmlformats.org/officeDocument/2006/relationships/hyperlink" Target="https://www.fpsregs.org/images/Age-discrimination/Home-Office-immediate-detriment-guidance-21-August-2020.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questions-statements.parliament.uk/written-statements/detail/2021-02-04/hcws757" TargetMode="External"/><Relationship Id="rId20" Type="http://schemas.openxmlformats.org/officeDocument/2006/relationships/hyperlink" Target="http://www.fpsregs.org/images/Age-discrimination/Immediate-detriment-matrix.xls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58189/20210129_PRP_consultation_response_final.pdf"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questions-statements.parliament.uk/written-statements/detail/2021-02-04/hcws757" TargetMode="External"/><Relationship Id="rId23" Type="http://schemas.openxmlformats.org/officeDocument/2006/relationships/hyperlink" Target="http://www.fpsregs.org/images/Age-discrimination/HMT-Public-Service-Pensions-consultation-SAB-Wales-response-9-October-2020.pdf"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fpsregs.org/images/Age-discrimination/LGA-immediate-detriment-information-note-October-2020.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psregs.org/images/Age-discrimination/HMT-Public-Service-Pensions-consultation-SAB-response-9-October-2020.pdf" TargetMode="External"/><Relationship Id="rId22" Type="http://schemas.openxmlformats.org/officeDocument/2006/relationships/hyperlink" Target="https://www.local.gov.uk/system/files/2021-01/EMP-2-21%20%E2%80%93%20COVID%20Support%20Agreement%20FAQs.pdf"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questions-statements.parliament.uk/written-statements/detail/2020-07-16/HCWS380" TargetMode="External"/><Relationship Id="rId2" Type="http://schemas.openxmlformats.org/officeDocument/2006/relationships/hyperlink" Target="https://www.fpsregs.org/images/Valuation/Valuation2016FV.pdf" TargetMode="External"/><Relationship Id="rId1" Type="http://schemas.openxmlformats.org/officeDocument/2006/relationships/hyperlink" Target="https://www.legislation.gov.uk/uksi/2015/465/regulation/5/ma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DEE50371934BD8A3797CFAE802A60C"/>
        <w:category>
          <w:name w:val="General"/>
          <w:gallery w:val="placeholder"/>
        </w:category>
        <w:types>
          <w:type w:val="bbPlcHdr"/>
        </w:types>
        <w:behaviors>
          <w:behavior w:val="content"/>
        </w:behaviors>
        <w:guid w:val="{CC19FFF1-CA81-46BE-BA02-F400BAA1F3E5}"/>
      </w:docPartPr>
      <w:docPartBody>
        <w:p w:rsidR="002E70E5" w:rsidRDefault="00926216" w:rsidP="00926216">
          <w:pPr>
            <w:pStyle w:val="07DEE50371934BD8A3797CFAE802A60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Malgun Goth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16"/>
    <w:rsid w:val="00012205"/>
    <w:rsid w:val="00180BC8"/>
    <w:rsid w:val="002848AF"/>
    <w:rsid w:val="002E70E5"/>
    <w:rsid w:val="003A6181"/>
    <w:rsid w:val="004E3FA3"/>
    <w:rsid w:val="0051683B"/>
    <w:rsid w:val="00541157"/>
    <w:rsid w:val="00600199"/>
    <w:rsid w:val="0066582F"/>
    <w:rsid w:val="006903A7"/>
    <w:rsid w:val="006E3BC2"/>
    <w:rsid w:val="007768BF"/>
    <w:rsid w:val="00873E78"/>
    <w:rsid w:val="00926216"/>
    <w:rsid w:val="0095608A"/>
    <w:rsid w:val="0096288F"/>
    <w:rsid w:val="00AA793D"/>
    <w:rsid w:val="00B66157"/>
    <w:rsid w:val="00B75A1B"/>
    <w:rsid w:val="00B97AFF"/>
    <w:rsid w:val="00BE0856"/>
    <w:rsid w:val="00C45364"/>
    <w:rsid w:val="00CD21E4"/>
    <w:rsid w:val="00E0399B"/>
    <w:rsid w:val="00E106D3"/>
    <w:rsid w:val="00EE10C6"/>
    <w:rsid w:val="00F619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216"/>
    <w:rPr>
      <w:color w:val="808080"/>
    </w:rPr>
  </w:style>
  <w:style w:type="paragraph" w:customStyle="1" w:styleId="07DEE50371934BD8A3797CFAE802A60C">
    <w:name w:val="07DEE50371934BD8A3797CFAE802A60C"/>
    <w:rsid w:val="00926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Naomi Cooke</DisplayName>
        <AccountId>12</AccountId>
        <AccountType/>
      </UserInfo>
      <UserInfo>
        <DisplayName>Clair Alcock</DisplayName>
        <AccountId>70</AccountId>
        <AccountType/>
      </UserInfo>
      <UserInfo>
        <DisplayName>Claire Hey</DisplayName>
        <AccountId>71</AccountId>
        <AccountType/>
      </UserInfo>
      <UserInfo>
        <DisplayName>Jonathan Bryant</DisplayName>
        <AccountId>66</AccountId>
        <AccountType/>
      </UserInfo>
      <UserInfo>
        <DisplayName>Gill Gittins</DisplayName>
        <AccountId>39</AccountId>
        <AccountType/>
      </UserInfo>
      <UserInfo>
        <DisplayName>Philip Bundy</DisplayName>
        <AccountId>31</AccountId>
        <AccountType/>
      </UserInfo>
      <UserInfo>
        <DisplayName>Jamie Osowski</DisplayName>
        <AccountId>35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906E6-43A5-4AFD-9179-73323F9DE49F}">
  <ds:schemaRefs>
    <ds:schemaRef ds:uri="http://schemas.openxmlformats.org/officeDocument/2006/bibliography"/>
  </ds:schemaRefs>
</ds:datastoreItem>
</file>

<file path=customXml/itemProps2.xml><?xml version="1.0" encoding="utf-8"?>
<ds:datastoreItem xmlns:ds="http://schemas.openxmlformats.org/officeDocument/2006/customXml" ds:itemID="{45BDF098-AFC0-4EE9-9DDA-68D94BD9A6FA}">
  <ds:schemaRefs>
    <ds:schemaRef ds:uri="http://schemas.microsoft.com/sharepoint/v3/contenttype/forms"/>
  </ds:schemaRefs>
</ds:datastoreItem>
</file>

<file path=customXml/itemProps3.xml><?xml version="1.0" encoding="utf-8"?>
<ds:datastoreItem xmlns:ds="http://schemas.openxmlformats.org/officeDocument/2006/customXml" ds:itemID="{247E7E15-5C7A-416D-8DC7-15E6460E495C}">
  <ds:schemaRefs>
    <ds:schemaRef ds:uri="http://schemas.microsoft.com/office/2006/metadata/properties"/>
    <ds:schemaRef ds:uri="http://schemas.microsoft.com/office/infopath/2007/PartnerControls"/>
    <ds:schemaRef ds:uri="260551db-00be-4bbc-8c7a-03e783dddd12"/>
  </ds:schemaRefs>
</ds:datastoreItem>
</file>

<file path=customXml/itemProps4.xml><?xml version="1.0" encoding="utf-8"?>
<ds:datastoreItem xmlns:ds="http://schemas.openxmlformats.org/officeDocument/2006/customXml" ds:itemID="{F75AAA22-E207-491C-99A3-DDC2BC98F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4497</Words>
  <Characters>25637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Purpose of the Report</vt:lpstr>
    </vt:vector>
  </TitlesOfParts>
  <Company>LGA</Company>
  <LinksUpToDate>false</LinksUpToDate>
  <CharactersWithSpaces>30074</CharactersWithSpaces>
  <SharedDoc>false</SharedDoc>
  <HLinks>
    <vt:vector size="90" baseType="variant">
      <vt:variant>
        <vt:i4>6291500</vt:i4>
      </vt:variant>
      <vt:variant>
        <vt:i4>42</vt:i4>
      </vt:variant>
      <vt:variant>
        <vt:i4>0</vt:i4>
      </vt:variant>
      <vt:variant>
        <vt:i4>5</vt:i4>
      </vt:variant>
      <vt:variant>
        <vt:lpwstr>http://www.fpsregs.org/images/Age-discrimination/HMT-Public-Service-Pensions-consultation-SAB-Wales-response-9-October-2020.pdf</vt:lpwstr>
      </vt:variant>
      <vt:variant>
        <vt:lpwstr/>
      </vt:variant>
      <vt:variant>
        <vt:i4>196611</vt:i4>
      </vt:variant>
      <vt:variant>
        <vt:i4>39</vt:i4>
      </vt:variant>
      <vt:variant>
        <vt:i4>0</vt:i4>
      </vt:variant>
      <vt:variant>
        <vt:i4>5</vt:i4>
      </vt:variant>
      <vt:variant>
        <vt:lpwstr>https://www.local.gov.uk/system/files/2021-01/EMP-2-21 %E2%80%93 COVID Support Agreement FAQs.pdf</vt:lpwstr>
      </vt:variant>
      <vt:variant>
        <vt:lpwstr/>
      </vt:variant>
      <vt:variant>
        <vt:i4>2293880</vt:i4>
      </vt:variant>
      <vt:variant>
        <vt:i4>36</vt:i4>
      </vt:variant>
      <vt:variant>
        <vt:i4>0</vt:i4>
      </vt:variant>
      <vt:variant>
        <vt:i4>5</vt:i4>
      </vt:variant>
      <vt:variant>
        <vt:lpwstr>https://www.local.gov.uk/sites/default/files/documents/EMP 8 19 - FPS 2015 CMPH - Final.pdf</vt:lpwstr>
      </vt:variant>
      <vt:variant>
        <vt:lpwstr/>
      </vt:variant>
      <vt:variant>
        <vt:i4>5373952</vt:i4>
      </vt:variant>
      <vt:variant>
        <vt:i4>33</vt:i4>
      </vt:variant>
      <vt:variant>
        <vt:i4>0</vt:i4>
      </vt:variant>
      <vt:variant>
        <vt:i4>5</vt:i4>
      </vt:variant>
      <vt:variant>
        <vt:lpwstr>http://www.legislation.gov.uk/ukpga/2004/12/schedule/36/paragraph/22</vt:lpwstr>
      </vt:variant>
      <vt:variant>
        <vt:lpwstr/>
      </vt:variant>
      <vt:variant>
        <vt:i4>5111876</vt:i4>
      </vt:variant>
      <vt:variant>
        <vt:i4>30</vt:i4>
      </vt:variant>
      <vt:variant>
        <vt:i4>0</vt:i4>
      </vt:variant>
      <vt:variant>
        <vt:i4>5</vt:i4>
      </vt:variant>
      <vt:variant>
        <vt:lpwstr>http://www.fpsregs.org/index.php/covid-19-and-the-fps</vt:lpwstr>
      </vt:variant>
      <vt:variant>
        <vt:lpwstr/>
      </vt:variant>
      <vt:variant>
        <vt:i4>5242944</vt:i4>
      </vt:variant>
      <vt:variant>
        <vt:i4>27</vt:i4>
      </vt:variant>
      <vt:variant>
        <vt:i4>0</vt:i4>
      </vt:variant>
      <vt:variant>
        <vt:i4>5</vt:i4>
      </vt:variant>
      <vt:variant>
        <vt:lpwstr>https://lgadigital.sharepoint.com/sites/Workforce/Blue Light/NJC Fire/FSMC meetings/1.%09http:/www.fpsboard.org/images/PDF/Meetings/17092020/Paper-2-Pension-administration-market-and-complexity.pdf</vt:lpwstr>
      </vt:variant>
      <vt:variant>
        <vt:lpwstr/>
      </vt:variant>
      <vt:variant>
        <vt:i4>131080</vt:i4>
      </vt:variant>
      <vt:variant>
        <vt:i4>24</vt:i4>
      </vt:variant>
      <vt:variant>
        <vt:i4>0</vt:i4>
      </vt:variant>
      <vt:variant>
        <vt:i4>5</vt:i4>
      </vt:variant>
      <vt:variant>
        <vt:lpwstr>http://www.fpsregs.org/images/Age-discrimination/Immediate-detriment-matrix.xlsx</vt:lpwstr>
      </vt:variant>
      <vt:variant>
        <vt:lpwstr/>
      </vt:variant>
      <vt:variant>
        <vt:i4>3866675</vt:i4>
      </vt:variant>
      <vt:variant>
        <vt:i4>21</vt:i4>
      </vt:variant>
      <vt:variant>
        <vt:i4>0</vt:i4>
      </vt:variant>
      <vt:variant>
        <vt:i4>5</vt:i4>
      </vt:variant>
      <vt:variant>
        <vt:lpwstr>http://www.fpsregs.org/images/Age-discrimination/LGA-immediate-detriment-information-note-October-2020.pdf</vt:lpwstr>
      </vt:variant>
      <vt:variant>
        <vt:lpwstr/>
      </vt:variant>
      <vt:variant>
        <vt:i4>5505054</vt:i4>
      </vt:variant>
      <vt:variant>
        <vt:i4>18</vt:i4>
      </vt:variant>
      <vt:variant>
        <vt:i4>0</vt:i4>
      </vt:variant>
      <vt:variant>
        <vt:i4>5</vt:i4>
      </vt:variant>
      <vt:variant>
        <vt:lpwstr>http://www.fpsregs.org/images/Age-discrimination/Home-Office-immediate-detriment-guidance-21-August-2020.pdf</vt:lpwstr>
      </vt:variant>
      <vt:variant>
        <vt:lpwstr/>
      </vt:variant>
      <vt:variant>
        <vt:i4>4915267</vt:i4>
      </vt:variant>
      <vt:variant>
        <vt:i4>15</vt:i4>
      </vt:variant>
      <vt:variant>
        <vt:i4>0</vt:i4>
      </vt:variant>
      <vt:variant>
        <vt:i4>5</vt:i4>
      </vt:variant>
      <vt:variant>
        <vt:lpwstr>http://www.fpsboard.org/images/PDF/Meetings/17032020/Paper-2-Item-9-Immediate-event-data-request-update-final.pdf</vt:lpwstr>
      </vt:variant>
      <vt:variant>
        <vt:lpwstr/>
      </vt:variant>
      <vt:variant>
        <vt:i4>7471160</vt:i4>
      </vt:variant>
      <vt:variant>
        <vt:i4>12</vt:i4>
      </vt:variant>
      <vt:variant>
        <vt:i4>0</vt:i4>
      </vt:variant>
      <vt:variant>
        <vt:i4>5</vt:i4>
      </vt:variant>
      <vt:variant>
        <vt:lpwstr>http://www.fpsregs.org/images/Age-discrimination/HMT-Public-Service-Pensions-consultation-SAB-Scotland-response-9-October-2020.pdf</vt:lpwstr>
      </vt:variant>
      <vt:variant>
        <vt:lpwstr/>
      </vt:variant>
      <vt:variant>
        <vt:i4>6291500</vt:i4>
      </vt:variant>
      <vt:variant>
        <vt:i4>9</vt:i4>
      </vt:variant>
      <vt:variant>
        <vt:i4>0</vt:i4>
      </vt:variant>
      <vt:variant>
        <vt:i4>5</vt:i4>
      </vt:variant>
      <vt:variant>
        <vt:lpwstr>http://www.fpsregs.org/images/Age-discrimination/HMT-Public-Service-Pensions-consultation-SAB-Wales-response-9-October-2020.pdf</vt:lpwstr>
      </vt:variant>
      <vt:variant>
        <vt:lpwstr/>
      </vt:variant>
      <vt:variant>
        <vt:i4>4784196</vt:i4>
      </vt:variant>
      <vt:variant>
        <vt:i4>6</vt:i4>
      </vt:variant>
      <vt:variant>
        <vt:i4>0</vt:i4>
      </vt:variant>
      <vt:variant>
        <vt:i4>5</vt:i4>
      </vt:variant>
      <vt:variant>
        <vt:lpwstr>http://www.fpsregs.org/images/Age-discrimination/HMT-Public-Service-Pensions-consultation-SAB-response-9-October-2020.pdf</vt:lpwstr>
      </vt:variant>
      <vt:variant>
        <vt:lpwstr/>
      </vt:variant>
      <vt:variant>
        <vt:i4>786512</vt:i4>
      </vt:variant>
      <vt:variant>
        <vt:i4>3</vt:i4>
      </vt:variant>
      <vt:variant>
        <vt:i4>0</vt:i4>
      </vt:variant>
      <vt:variant>
        <vt:i4>5</vt:i4>
      </vt:variant>
      <vt:variant>
        <vt:lpwstr>http://www.fpsregs.org/images/Consultations/HMT-Public-Service-Pensions-consultation-LGA-response-9-October-2020.pdf</vt:lpwstr>
      </vt:variant>
      <vt:variant>
        <vt:lpwstr/>
      </vt:variant>
      <vt:variant>
        <vt:i4>4259922</vt:i4>
      </vt:variant>
      <vt:variant>
        <vt:i4>0</vt:i4>
      </vt:variant>
      <vt:variant>
        <vt:i4>0</vt:i4>
      </vt:variant>
      <vt:variant>
        <vt:i4>5</vt:i4>
      </vt:variant>
      <vt:variant>
        <vt:lpwstr>https://assets.publishing.service.gov.uk/government/uploads/system/uploads/attachment_data/file/900766/Public_Service_Pensions_Consultation.pdf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Report</dc:title>
  <dc:subject/>
  <dc:creator>eamon.lally</dc:creator>
  <cp:keywords/>
  <cp:lastModifiedBy>Jonathan Bryant</cp:lastModifiedBy>
  <cp:revision>3</cp:revision>
  <cp:lastPrinted>2020-01-16T12:38:00Z</cp:lastPrinted>
  <dcterms:created xsi:type="dcterms:W3CDTF">2021-02-26T17:34:00Z</dcterms:created>
  <dcterms:modified xsi:type="dcterms:W3CDTF">2021-02-26T17:34:00Z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TaxKeyword">
    <vt:lpwstr/>
  </property>
  <property fmtid="{D5CDD505-2E9C-101B-9397-08002B2CF9AE}" pid="4" name="WorkflowChangePath">
    <vt:lpwstr>24f8e0b2-4c82-4946-8ffa-848df0c0da99,2;</vt:lpwstr>
  </property>
</Properties>
</file>